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0C4DFC6F" w14:textId="77777777" w:rsidTr="00A84FEE">
        <w:trPr>
          <w:trHeight w:val="1890"/>
        </w:trPr>
        <w:tc>
          <w:tcPr>
            <w:tcW w:w="5225" w:type="dxa"/>
          </w:tcPr>
          <w:p w14:paraId="35F4E999"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37559509" wp14:editId="6943472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0FB2648F" w14:textId="77777777" w:rsidR="006622E6" w:rsidRPr="000C1188" w:rsidRDefault="006622E6" w:rsidP="00A47C77">
            <w:pPr>
              <w:rPr>
                <w:rFonts w:asciiTheme="minorHAnsi" w:hAnsiTheme="minorHAnsi"/>
              </w:rPr>
            </w:pPr>
          </w:p>
          <w:p w14:paraId="49C86A7C" w14:textId="77777777" w:rsidR="00A47C77" w:rsidRPr="000C1188" w:rsidRDefault="00A47C77" w:rsidP="00A47C77">
            <w:pPr>
              <w:rPr>
                <w:rFonts w:asciiTheme="minorHAnsi" w:hAnsiTheme="minorHAnsi" w:cs="Arial"/>
                <w:noProof/>
              </w:rPr>
            </w:pPr>
            <w:r w:rsidRPr="000C1188">
              <w:rPr>
                <w:rFonts w:asciiTheme="minorHAnsi" w:hAnsiTheme="minorHAnsi"/>
              </w:rPr>
              <w:fldChar w:fldCharType="begin">
                <w:ffData>
                  <w:name w:val="Text23"/>
                  <w:enabled/>
                  <w:calcOnExit w:val="0"/>
                  <w:textInput>
                    <w:default w:val="222 East Central Parkway"/>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222 East Central Parkway</w:t>
            </w:r>
            <w:r w:rsidRPr="000C1188">
              <w:rPr>
                <w:rFonts w:asciiTheme="minorHAnsi" w:hAnsiTheme="minorHAnsi"/>
              </w:rPr>
              <w:fldChar w:fldCharType="end"/>
            </w:r>
            <w:bookmarkEnd w:id="0"/>
            <w:r w:rsidR="00B721D0" w:rsidRPr="000C1188">
              <w:rPr>
                <w:rFonts w:asciiTheme="minorHAnsi" w:hAnsiTheme="minorHAnsi"/>
              </w:rPr>
              <w:t xml:space="preserve"> </w:t>
            </w:r>
            <w:r w:rsidR="00B721D0" w:rsidRPr="000C1188">
              <w:rPr>
                <w:rFonts w:asciiTheme="minorHAnsi" w:hAnsiTheme="minorHAnsi"/>
              </w:rPr>
              <w:sym w:font="Wingdings 2" w:char="F097"/>
            </w:r>
            <w:r w:rsidR="00B721D0" w:rsidRPr="000C1188">
              <w:rPr>
                <w:rFonts w:asciiTheme="minorHAnsi" w:hAnsiTheme="minorHAnsi"/>
              </w:rPr>
              <w:t xml:space="preserve"> </w:t>
            </w: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Start w:id="2" w:name="Text22"/>
            <w:bookmarkEnd w:id="1"/>
            <w:r w:rsidRPr="000C1188">
              <w:rPr>
                <w:rFonts w:asciiTheme="minorHAnsi" w:hAnsiTheme="minorHAnsi"/>
              </w:rPr>
              <w:fldChar w:fldCharType="begin">
                <w:ffData>
                  <w:name w:val="Text22"/>
                  <w:enabled/>
                  <w:calcOnExit w:val="0"/>
                  <w:textInput>
                    <w:default w:val="45202"/>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45202</w:t>
            </w:r>
            <w:r w:rsidRPr="000C1188">
              <w:rPr>
                <w:rFonts w:asciiTheme="minorHAnsi" w:hAnsiTheme="minorHAnsi"/>
              </w:rPr>
              <w:fldChar w:fldCharType="end"/>
            </w:r>
          </w:p>
          <w:p w14:paraId="28A9FB27" w14:textId="66856BAF" w:rsidR="00A47C77" w:rsidRPr="000C1188" w:rsidRDefault="00A47C77" w:rsidP="00A47C77">
            <w:pPr>
              <w:rPr>
                <w:rFonts w:asciiTheme="minorHAnsi" w:hAnsiTheme="minorHAnsi" w:cs="Arial"/>
              </w:rPr>
            </w:pPr>
            <w:bookmarkStart w:id="3" w:name="Text19"/>
            <w:bookmarkEnd w:id="2"/>
            <w:r w:rsidRPr="000C1188">
              <w:rPr>
                <w:rFonts w:asciiTheme="minorHAnsi" w:hAnsiTheme="minorHAnsi"/>
              </w:rPr>
              <w:t>Voice:</w:t>
            </w:r>
            <w:r w:rsidR="00907FFE" w:rsidRPr="000C1188">
              <w:rPr>
                <w:rFonts w:asciiTheme="minorHAnsi" w:hAnsiTheme="minorHAnsi"/>
              </w:rPr>
              <w:t xml:space="preserve"> </w:t>
            </w:r>
            <w:r w:rsidRPr="000C1188">
              <w:rPr>
                <w:rFonts w:asciiTheme="minorHAnsi" w:hAnsiTheme="minorHAnsi"/>
              </w:rPr>
              <w:fldChar w:fldCharType="begin">
                <w:ffData>
                  <w:name w:val="Text19"/>
                  <w:enabled/>
                  <w:calcOnExit w:val="0"/>
                  <w:textInput>
                    <w:default w:val="(513)"/>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Pr="000C1188">
              <w:rPr>
                <w:rFonts w:asciiTheme="minorHAnsi" w:hAnsiTheme="minorHAnsi" w:cs="Arial"/>
                <w:noProof/>
              </w:rPr>
              <w:t>(513)</w:t>
            </w:r>
            <w:r w:rsidRPr="000C1188">
              <w:rPr>
                <w:rFonts w:asciiTheme="minorHAnsi" w:hAnsiTheme="minorHAnsi"/>
              </w:rPr>
              <w:fldChar w:fldCharType="end"/>
            </w:r>
            <w:bookmarkEnd w:id="3"/>
            <w:r w:rsidRPr="000C1188">
              <w:rPr>
                <w:rFonts w:asciiTheme="minorHAnsi" w:hAnsiTheme="minorHAnsi" w:cs="Arial"/>
              </w:rPr>
              <w:t xml:space="preserve"> </w:t>
            </w:r>
            <w:bookmarkStart w:id="4" w:name="Text25"/>
            <w:r w:rsidRPr="000C1188">
              <w:rPr>
                <w:rFonts w:asciiTheme="minorHAnsi" w:hAnsiTheme="minorHAnsi"/>
              </w:rPr>
              <w:fldChar w:fldCharType="begin">
                <w:ffData>
                  <w:name w:val="Text25"/>
                  <w:enabled/>
                  <w:calcOnExit w:val="0"/>
                  <w:textInput>
                    <w:type w:val="number"/>
                    <w:maxLength w:val="3"/>
                    <w:format w:val="####"/>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008C4ACC">
              <w:rPr>
                <w:rFonts w:asciiTheme="minorHAnsi" w:hAnsiTheme="minorHAnsi" w:cs="Arial"/>
                <w:noProof/>
              </w:rPr>
              <w:t>946</w:t>
            </w:r>
            <w:r w:rsidRPr="000C1188">
              <w:rPr>
                <w:rFonts w:asciiTheme="minorHAnsi" w:hAnsiTheme="minorHAnsi"/>
              </w:rPr>
              <w:fldChar w:fldCharType="end"/>
            </w:r>
            <w:bookmarkEnd w:id="4"/>
            <w:r w:rsidRPr="000C1188">
              <w:rPr>
                <w:rFonts w:asciiTheme="minorHAnsi" w:hAnsiTheme="minorHAnsi" w:cs="Arial"/>
              </w:rPr>
              <w:t>-</w:t>
            </w:r>
            <w:r w:rsidRPr="000C1188">
              <w:rPr>
                <w:rFonts w:asciiTheme="minorHAnsi" w:hAnsiTheme="minorHAnsi" w:cs="Arial"/>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1408</w:t>
            </w:r>
            <w:r w:rsidRPr="000C1188">
              <w:rPr>
                <w:rFonts w:asciiTheme="minorHAnsi" w:hAnsiTheme="minorHAnsi" w:cs="Arial"/>
              </w:rPr>
              <w:fldChar w:fldCharType="end"/>
            </w:r>
            <w:r w:rsidRPr="000C1188">
              <w:rPr>
                <w:rFonts w:asciiTheme="minorHAnsi" w:hAnsiTheme="minorHAnsi" w:cs="Arial"/>
              </w:rPr>
              <w:t xml:space="preserve"> </w:t>
            </w:r>
            <w:r w:rsidR="00B721D0" w:rsidRPr="000C1188">
              <w:rPr>
                <w:rFonts w:asciiTheme="minorHAnsi" w:hAnsiTheme="minorHAnsi" w:cs="Arial"/>
              </w:rPr>
              <w:sym w:font="Wingdings 2" w:char="F097"/>
            </w:r>
            <w:r w:rsidR="00B721D0" w:rsidRPr="000C1188">
              <w:rPr>
                <w:rFonts w:asciiTheme="minorHAnsi" w:hAnsiTheme="minorHAnsi" w:cs="Arial"/>
              </w:rPr>
              <w:t xml:space="preserve"> </w:t>
            </w:r>
            <w:r w:rsidRPr="000C1188">
              <w:rPr>
                <w:rFonts w:asciiTheme="minorHAnsi" w:hAnsiTheme="minorHAnsi" w:cs="Arial"/>
              </w:rPr>
              <w:t xml:space="preserve">Fax: </w:t>
            </w:r>
            <w:r w:rsidRPr="000C1188">
              <w:rPr>
                <w:rFonts w:asciiTheme="minorHAnsi" w:hAnsiTheme="minorHAnsi" w:cs="Arial"/>
              </w:rPr>
              <w:fldChar w:fldCharType="begin">
                <w:ffData>
                  <w:name w:val="Text19"/>
                  <w:enabled/>
                  <w:calcOnExit w:val="0"/>
                  <w:textInput>
                    <w:default w:val="(513)"/>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Pr="000C1188">
              <w:rPr>
                <w:rFonts w:asciiTheme="minorHAnsi" w:hAnsiTheme="minorHAnsi" w:cs="Arial"/>
                <w:noProof/>
              </w:rPr>
              <w:t>(513)</w:t>
            </w:r>
            <w:r w:rsidRPr="000C1188">
              <w:rPr>
                <w:rFonts w:asciiTheme="minorHAnsi" w:hAnsiTheme="minorHAnsi" w:cs="Arial"/>
              </w:rPr>
              <w:fldChar w:fldCharType="end"/>
            </w:r>
            <w:r w:rsidRPr="000C1188">
              <w:rPr>
                <w:rFonts w:asciiTheme="minorHAnsi" w:hAnsiTheme="minorHAnsi" w:cs="Arial"/>
              </w:rPr>
              <w:t xml:space="preserve"> </w:t>
            </w:r>
            <w:r w:rsidRPr="000C1188">
              <w:rPr>
                <w:rFonts w:asciiTheme="minorHAnsi" w:hAnsiTheme="minorHAnsi" w:cs="Arial"/>
              </w:rPr>
              <w:fldChar w:fldCharType="begin">
                <w:ffData>
                  <w:name w:val=""/>
                  <w:enabled/>
                  <w:calcOnExit w:val="0"/>
                  <w:textInput>
                    <w:type w:val="number"/>
                    <w:maxLength w:val="3"/>
                    <w:format w:val="####"/>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946</w:t>
            </w:r>
            <w:r w:rsidRPr="000C1188">
              <w:rPr>
                <w:rFonts w:asciiTheme="minorHAnsi" w:hAnsiTheme="minorHAnsi" w:cs="Arial"/>
              </w:rPr>
              <w:fldChar w:fldCharType="end"/>
            </w:r>
            <w:r w:rsidRPr="000C1188">
              <w:rPr>
                <w:rFonts w:asciiTheme="minorHAnsi" w:hAnsiTheme="minorHAnsi" w:cs="Arial"/>
              </w:rPr>
              <w:t>-</w:t>
            </w:r>
            <w:bookmarkStart w:id="5" w:name="Text24"/>
            <w:bookmarkStart w:id="6" w:name="Text5"/>
            <w:bookmarkStart w:id="7" w:name="Text3"/>
            <w:r w:rsidRPr="000C1188">
              <w:rPr>
                <w:rFonts w:asciiTheme="minorHAnsi" w:hAnsiTheme="minorHAnsi"/>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rPr>
            </w:r>
            <w:r w:rsidRPr="000C1188">
              <w:rPr>
                <w:rFonts w:asciiTheme="minorHAnsi" w:hAnsiTheme="minorHAnsi"/>
              </w:rPr>
              <w:fldChar w:fldCharType="separate"/>
            </w:r>
            <w:r w:rsidR="008C4ACC">
              <w:rPr>
                <w:rFonts w:asciiTheme="minorHAnsi" w:hAnsiTheme="minorHAnsi" w:cs="Arial"/>
                <w:noProof/>
              </w:rPr>
              <w:t>2384</w:t>
            </w:r>
            <w:r w:rsidRPr="000C1188">
              <w:rPr>
                <w:rFonts w:asciiTheme="minorHAnsi" w:hAnsiTheme="minorHAnsi"/>
              </w:rPr>
              <w:fldChar w:fldCharType="end"/>
            </w:r>
          </w:p>
          <w:p w14:paraId="1C14D46C" w14:textId="1BF85CE3" w:rsidR="00A47C77" w:rsidRPr="000C1188" w:rsidRDefault="00A47C77" w:rsidP="00A47C77">
            <w:pPr>
              <w:rPr>
                <w:rFonts w:asciiTheme="minorHAnsi" w:hAnsiTheme="minorHAnsi"/>
              </w:rPr>
            </w:pPr>
            <w:r w:rsidRPr="000C1188">
              <w:rPr>
                <w:rFonts w:asciiTheme="minorHAnsi" w:hAnsiTheme="minorHAnsi" w:cs="Arial"/>
              </w:rPr>
              <w:fldChar w:fldCharType="begin">
                <w:ffData>
                  <w:name w:val="Text24"/>
                  <w:enabled/>
                  <w:calcOnExit w:val="0"/>
                  <w:textInput>
                    <w:default w:val="Email:  "/>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Pr="000C1188">
              <w:rPr>
                <w:rFonts w:asciiTheme="minorHAnsi" w:hAnsiTheme="minorHAnsi" w:cs="Arial"/>
                <w:noProof/>
              </w:rPr>
              <w:t xml:space="preserve">Email:  </w:t>
            </w:r>
            <w:r w:rsidRPr="000C1188">
              <w:rPr>
                <w:rFonts w:asciiTheme="minorHAnsi" w:hAnsiTheme="minorHAnsi" w:cs="Arial"/>
              </w:rPr>
              <w:fldChar w:fldCharType="end"/>
            </w:r>
            <w:bookmarkEnd w:id="5"/>
            <w:bookmarkEnd w:id="6"/>
            <w:bookmarkEnd w:id="7"/>
            <w:r w:rsidRPr="000C1188">
              <w:rPr>
                <w:rFonts w:asciiTheme="minorHAnsi" w:hAnsiTheme="minorHAnsi" w:cs="Arial"/>
              </w:rPr>
              <w:fldChar w:fldCharType="begin">
                <w:ffData>
                  <w:name w:val=""/>
                  <w:enabled/>
                  <w:calcOnExit w:val="0"/>
                  <w:textInput/>
                </w:ffData>
              </w:fldChar>
            </w:r>
            <w:r w:rsidRPr="000C1188">
              <w:rPr>
                <w:rFonts w:asciiTheme="minorHAnsi" w:hAnsiTheme="minorHAnsi" w:cs="Arial"/>
              </w:rPr>
              <w:instrText xml:space="preserve"> FORMTEXT </w:instrText>
            </w:r>
            <w:r w:rsidRPr="000C1188">
              <w:rPr>
                <w:rFonts w:asciiTheme="minorHAnsi" w:hAnsiTheme="minorHAnsi" w:cs="Arial"/>
              </w:rPr>
            </w:r>
            <w:r w:rsidRPr="000C1188">
              <w:rPr>
                <w:rFonts w:asciiTheme="minorHAnsi" w:hAnsiTheme="minorHAnsi" w:cs="Arial"/>
              </w:rPr>
              <w:fldChar w:fldCharType="separate"/>
            </w:r>
            <w:r w:rsidR="008C4ACC">
              <w:rPr>
                <w:rFonts w:asciiTheme="minorHAnsi" w:hAnsiTheme="minorHAnsi" w:cs="Arial"/>
                <w:noProof/>
              </w:rPr>
              <w:t>sandra.carson@jfs.ohio.gov</w:t>
            </w:r>
            <w:r w:rsidRPr="000C1188">
              <w:rPr>
                <w:rFonts w:asciiTheme="minorHAnsi" w:hAnsiTheme="minorHAnsi" w:cs="Arial"/>
              </w:rPr>
              <w:fldChar w:fldCharType="end"/>
            </w:r>
            <w:r w:rsidRPr="000C1188">
              <w:rPr>
                <w:rFonts w:asciiTheme="minorHAnsi" w:hAnsiTheme="minorHAnsi"/>
              </w:rPr>
              <w:t xml:space="preserve"> </w:t>
            </w:r>
          </w:p>
        </w:tc>
        <w:tc>
          <w:tcPr>
            <w:tcW w:w="5310" w:type="dxa"/>
          </w:tcPr>
          <w:p w14:paraId="6625F120"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58A033D0" w14:textId="77777777" w:rsidR="00A47C77" w:rsidRPr="00A84FEE" w:rsidRDefault="00A47C77" w:rsidP="00A84FEE">
            <w:pPr>
              <w:rPr>
                <w:rFonts w:asciiTheme="minorHAnsi" w:hAnsiTheme="minorHAnsi"/>
              </w:rPr>
            </w:pPr>
            <w:r w:rsidRPr="00A84FEE">
              <w:rPr>
                <w:rFonts w:asciiTheme="minorHAnsi" w:hAnsiTheme="minorHAnsi"/>
              </w:rPr>
              <w:t>Stephanie Summerow Dumas</w:t>
            </w:r>
            <w:r w:rsidR="00A84FEE">
              <w:rPr>
                <w:rFonts w:asciiTheme="minorHAnsi" w:hAnsiTheme="minorHAnsi"/>
              </w:rPr>
              <w:t xml:space="preserve">, </w:t>
            </w:r>
            <w:r w:rsidR="00F96E0C">
              <w:rPr>
                <w:rFonts w:asciiTheme="minorHAnsi" w:hAnsiTheme="minorHAnsi"/>
              </w:rPr>
              <w:t>Alicia Reece</w:t>
            </w:r>
            <w:r w:rsidR="007F387B">
              <w:rPr>
                <w:rFonts w:asciiTheme="minorHAnsi" w:hAnsiTheme="minorHAnsi"/>
              </w:rPr>
              <w:t>, Denise Driehaus</w:t>
            </w:r>
          </w:p>
          <w:p w14:paraId="14F08E94"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6B9A7956" w14:textId="77777777" w:rsidR="00A47C77" w:rsidRPr="000C1188" w:rsidRDefault="00732F79" w:rsidP="00A47C77">
            <w:pPr>
              <w:rPr>
                <w:rFonts w:asciiTheme="minorHAnsi" w:hAnsiTheme="minorHAnsi"/>
                <w:b/>
              </w:rPr>
            </w:pPr>
            <w:r>
              <w:rPr>
                <w:rFonts w:asciiTheme="minorHAnsi" w:hAnsiTheme="minorHAnsi"/>
                <w:b/>
              </w:rPr>
              <w:t xml:space="preserve">Interim </w:t>
            </w:r>
            <w:r w:rsidR="00A47C77" w:rsidRPr="000C1188">
              <w:rPr>
                <w:rFonts w:asciiTheme="minorHAnsi" w:hAnsiTheme="minorHAnsi"/>
                <w:b/>
              </w:rPr>
              <w:t xml:space="preserve">Director: </w:t>
            </w:r>
            <w:r w:rsidR="00A47C77" w:rsidRPr="000C1188">
              <w:rPr>
                <w:rFonts w:asciiTheme="minorHAnsi" w:hAnsiTheme="minorHAnsi"/>
              </w:rPr>
              <w:t xml:space="preserve"> </w:t>
            </w:r>
            <w:r>
              <w:rPr>
                <w:rFonts w:asciiTheme="minorHAnsi" w:hAnsiTheme="minorHAnsi"/>
              </w:rPr>
              <w:t>Tim McCartney</w:t>
            </w:r>
            <w:r w:rsidR="00A47C77" w:rsidRPr="000C1188">
              <w:rPr>
                <w:rFonts w:asciiTheme="minorHAnsi" w:hAnsiTheme="minorHAnsi"/>
              </w:rPr>
              <w:tab/>
            </w:r>
            <w:r w:rsidR="00A47C77" w:rsidRPr="000C1188">
              <w:rPr>
                <w:rFonts w:asciiTheme="minorHAnsi" w:hAnsiTheme="minorHAnsi"/>
                <w:b/>
              </w:rPr>
              <w:t xml:space="preserve"> </w:t>
            </w:r>
          </w:p>
          <w:p w14:paraId="202DD394"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191A87A5" w14:textId="77777777" w:rsidR="00A47C77" w:rsidRPr="000C1188" w:rsidRDefault="00A47C77" w:rsidP="00A47C77">
            <w:pPr>
              <w:rPr>
                <w:rFonts w:asciiTheme="minorHAnsi" w:hAnsiTheme="minorHAnsi"/>
              </w:rPr>
            </w:pPr>
            <w:r w:rsidRPr="000C1188">
              <w:rPr>
                <w:rFonts w:asciiTheme="minorHAnsi" w:hAnsiTheme="minorHAnsi"/>
                <w:b/>
              </w:rPr>
              <w:t>General Information TDD</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946-1295</w:t>
            </w:r>
          </w:p>
          <w:p w14:paraId="29D2853B" w14:textId="77777777" w:rsidR="00A47C77" w:rsidRPr="000C1188" w:rsidRDefault="00A47C77" w:rsidP="004B2FA6">
            <w:pPr>
              <w:rPr>
                <w:rFonts w:asciiTheme="minorHAnsi" w:hAnsiTheme="minorHAnsi"/>
              </w:rPr>
            </w:pPr>
            <w:bookmarkStart w:id="8"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8"/>
            <w:r w:rsidRPr="000C1188">
              <w:rPr>
                <w:rFonts w:asciiTheme="minorHAnsi" w:hAnsiTheme="minorHAnsi"/>
              </w:rPr>
              <w:t xml:space="preserve"> </w:t>
            </w:r>
          </w:p>
        </w:tc>
      </w:tr>
    </w:tbl>
    <w:p w14:paraId="26D9D331" w14:textId="77777777" w:rsidR="004B2FA6" w:rsidRPr="004B2FA6" w:rsidRDefault="004B2FA6" w:rsidP="004B2FA6"/>
    <w:p w14:paraId="0D87C05E"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2BEB8727" w14:textId="77777777" w:rsidR="008E494C" w:rsidRDefault="008E494C" w:rsidP="00A84FEE">
      <w:pPr>
        <w:rPr>
          <w:rFonts w:asciiTheme="minorHAnsi" w:hAnsiTheme="minorHAnsi"/>
          <w:sz w:val="22"/>
          <w:szCs w:val="22"/>
        </w:rPr>
      </w:pPr>
    </w:p>
    <w:p w14:paraId="05B1F7DD" w14:textId="77777777" w:rsidR="00BC6217" w:rsidRDefault="00BC6217" w:rsidP="008E494C">
      <w:pPr>
        <w:rPr>
          <w:rFonts w:asciiTheme="minorHAnsi" w:hAnsiTheme="minorHAnsi"/>
          <w:sz w:val="24"/>
          <w:szCs w:val="24"/>
        </w:rPr>
      </w:pPr>
    </w:p>
    <w:p w14:paraId="6C2A4F2D" w14:textId="77777777" w:rsidR="00BC6217" w:rsidRDefault="00BC6217" w:rsidP="008E494C">
      <w:pPr>
        <w:rPr>
          <w:rFonts w:asciiTheme="minorHAnsi" w:hAnsiTheme="minorHAnsi"/>
          <w:sz w:val="24"/>
          <w:szCs w:val="24"/>
        </w:rPr>
      </w:pPr>
    </w:p>
    <w:p w14:paraId="05ACB512" w14:textId="48C41C3E" w:rsidR="000C1188" w:rsidRPr="003A46CD" w:rsidRDefault="00193B81" w:rsidP="008E494C">
      <w:pPr>
        <w:rPr>
          <w:rFonts w:cs="Arial"/>
          <w:sz w:val="22"/>
          <w:szCs w:val="22"/>
        </w:rPr>
      </w:pPr>
      <w:r>
        <w:rPr>
          <w:rFonts w:cs="Arial"/>
          <w:sz w:val="22"/>
          <w:szCs w:val="22"/>
        </w:rPr>
        <w:t xml:space="preserve">March </w:t>
      </w:r>
      <w:r w:rsidR="00A02BFE">
        <w:rPr>
          <w:rFonts w:cs="Arial"/>
          <w:sz w:val="22"/>
          <w:szCs w:val="22"/>
        </w:rPr>
        <w:t>10</w:t>
      </w:r>
      <w:r w:rsidR="00CB6713" w:rsidRPr="003A46CD">
        <w:rPr>
          <w:rFonts w:cs="Arial"/>
          <w:sz w:val="22"/>
          <w:szCs w:val="22"/>
        </w:rPr>
        <w:t>, 2021</w:t>
      </w:r>
    </w:p>
    <w:p w14:paraId="01CAB001" w14:textId="57CEC50B" w:rsidR="00CB6713" w:rsidRPr="00DB4561" w:rsidRDefault="00CB6713" w:rsidP="008E494C">
      <w:pPr>
        <w:rPr>
          <w:rFonts w:asciiTheme="minorHAnsi" w:hAnsiTheme="minorHAnsi"/>
          <w:sz w:val="24"/>
          <w:szCs w:val="24"/>
        </w:rPr>
      </w:pPr>
    </w:p>
    <w:p w14:paraId="1F7FE950" w14:textId="77777777" w:rsidR="00144B29" w:rsidRDefault="00144B29" w:rsidP="00144B29">
      <w:pPr>
        <w:widowControl w:val="0"/>
        <w:autoSpaceDE w:val="0"/>
        <w:autoSpaceDN w:val="0"/>
        <w:adjustRightInd w:val="0"/>
        <w:rPr>
          <w:rFonts w:cs="Arial"/>
          <w:b/>
          <w:sz w:val="22"/>
          <w:szCs w:val="22"/>
        </w:rPr>
      </w:pPr>
      <w:r>
        <w:rPr>
          <w:rFonts w:cs="Arial"/>
          <w:b/>
          <w:sz w:val="22"/>
          <w:szCs w:val="22"/>
        </w:rPr>
        <w:t>HCJFS REQUEST FOR PROPOSAL</w:t>
      </w:r>
    </w:p>
    <w:p w14:paraId="0452C446" w14:textId="0A3CD565" w:rsidR="00144B29" w:rsidRDefault="005D6E8F" w:rsidP="00144B29">
      <w:pPr>
        <w:rPr>
          <w:rFonts w:cs="Arial"/>
          <w:b/>
          <w:sz w:val="22"/>
          <w:szCs w:val="22"/>
        </w:rPr>
      </w:pPr>
      <w:r>
        <w:rPr>
          <w:rFonts w:cs="Arial"/>
          <w:b/>
          <w:sz w:val="22"/>
          <w:szCs w:val="22"/>
        </w:rPr>
        <w:t>RESIDENTIAL TREATMENT SERVICES</w:t>
      </w:r>
    </w:p>
    <w:p w14:paraId="76406B59" w14:textId="64CE1D6C" w:rsidR="00144B29" w:rsidRDefault="00144B29" w:rsidP="00144B29">
      <w:pPr>
        <w:widowControl w:val="0"/>
        <w:autoSpaceDE w:val="0"/>
        <w:autoSpaceDN w:val="0"/>
        <w:adjustRightInd w:val="0"/>
        <w:rPr>
          <w:rFonts w:cs="Arial"/>
          <w:b/>
          <w:sz w:val="22"/>
          <w:szCs w:val="22"/>
        </w:rPr>
      </w:pPr>
      <w:r>
        <w:rPr>
          <w:rFonts w:cs="Arial"/>
          <w:b/>
          <w:sz w:val="22"/>
          <w:szCs w:val="22"/>
        </w:rPr>
        <w:t>RFP SC</w:t>
      </w:r>
      <w:r w:rsidR="005D6E8F">
        <w:rPr>
          <w:rFonts w:cs="Arial"/>
          <w:b/>
          <w:sz w:val="22"/>
          <w:szCs w:val="22"/>
        </w:rPr>
        <w:t>01</w:t>
      </w:r>
      <w:r>
        <w:rPr>
          <w:rFonts w:cs="Arial"/>
          <w:b/>
          <w:sz w:val="22"/>
          <w:szCs w:val="22"/>
        </w:rPr>
        <w:t>-2</w:t>
      </w:r>
      <w:r w:rsidR="005D6E8F">
        <w:rPr>
          <w:rFonts w:cs="Arial"/>
          <w:b/>
          <w:sz w:val="22"/>
          <w:szCs w:val="22"/>
        </w:rPr>
        <w:t>1</w:t>
      </w:r>
      <w:r>
        <w:rPr>
          <w:rFonts w:cs="Arial"/>
          <w:b/>
          <w:sz w:val="22"/>
          <w:szCs w:val="22"/>
        </w:rPr>
        <w:t>R</w:t>
      </w:r>
    </w:p>
    <w:p w14:paraId="4DAB151B" w14:textId="6BE79F69" w:rsidR="005A3A7E" w:rsidRDefault="005A3A7E" w:rsidP="004B2FA6">
      <w:pPr>
        <w:rPr>
          <w:rFonts w:asciiTheme="minorHAnsi" w:hAnsiTheme="minorHAnsi" w:cstheme="minorHAnsi"/>
          <w:sz w:val="24"/>
          <w:szCs w:val="24"/>
        </w:rPr>
      </w:pPr>
    </w:p>
    <w:p w14:paraId="79CE224F" w14:textId="342640F5" w:rsidR="003A46CD" w:rsidRDefault="003A46CD" w:rsidP="003A46CD">
      <w:pPr>
        <w:widowControl w:val="0"/>
        <w:autoSpaceDE w:val="0"/>
        <w:autoSpaceDN w:val="0"/>
        <w:adjustRightInd w:val="0"/>
        <w:jc w:val="center"/>
        <w:rPr>
          <w:rFonts w:cs="Arial"/>
          <w:b/>
          <w:sz w:val="22"/>
          <w:szCs w:val="22"/>
        </w:rPr>
      </w:pPr>
      <w:r>
        <w:rPr>
          <w:rFonts w:cs="Arial"/>
          <w:b/>
          <w:sz w:val="22"/>
          <w:szCs w:val="22"/>
        </w:rPr>
        <w:t xml:space="preserve">ADDENDUM </w:t>
      </w:r>
      <w:r w:rsidR="007F3A9D">
        <w:rPr>
          <w:rFonts w:cs="Arial"/>
          <w:b/>
          <w:sz w:val="22"/>
          <w:szCs w:val="22"/>
        </w:rPr>
        <w:t>5</w:t>
      </w:r>
      <w:r w:rsidR="00A02BFE">
        <w:rPr>
          <w:rFonts w:cs="Arial"/>
          <w:b/>
          <w:sz w:val="22"/>
          <w:szCs w:val="22"/>
        </w:rPr>
        <w:t xml:space="preserve"> (Revised)</w:t>
      </w:r>
    </w:p>
    <w:p w14:paraId="740724AF" w14:textId="77777777" w:rsidR="003A46CD" w:rsidRDefault="003A46CD" w:rsidP="003A46CD">
      <w:pPr>
        <w:widowControl w:val="0"/>
        <w:autoSpaceDE w:val="0"/>
        <w:autoSpaceDN w:val="0"/>
        <w:adjustRightInd w:val="0"/>
        <w:jc w:val="center"/>
        <w:rPr>
          <w:rFonts w:cs="Arial"/>
          <w:b/>
          <w:sz w:val="22"/>
          <w:szCs w:val="22"/>
        </w:rPr>
      </w:pPr>
    </w:p>
    <w:p w14:paraId="511754AB" w14:textId="77777777" w:rsidR="003A46CD" w:rsidRDefault="003A46CD" w:rsidP="003A46CD">
      <w:pPr>
        <w:widowControl w:val="0"/>
        <w:autoSpaceDE w:val="0"/>
        <w:autoSpaceDN w:val="0"/>
        <w:adjustRightInd w:val="0"/>
        <w:rPr>
          <w:rFonts w:cs="Arial"/>
          <w:b/>
          <w:sz w:val="22"/>
          <w:szCs w:val="22"/>
        </w:rPr>
      </w:pPr>
    </w:p>
    <w:p w14:paraId="07181125" w14:textId="77777777" w:rsidR="003A46CD" w:rsidRDefault="003A46CD" w:rsidP="003A46CD">
      <w:pPr>
        <w:widowControl w:val="0"/>
        <w:autoSpaceDE w:val="0"/>
        <w:autoSpaceDN w:val="0"/>
        <w:adjustRightInd w:val="0"/>
        <w:rPr>
          <w:rFonts w:cs="Arial"/>
          <w:b/>
          <w:sz w:val="22"/>
          <w:szCs w:val="22"/>
        </w:rPr>
      </w:pPr>
    </w:p>
    <w:p w14:paraId="415676EF" w14:textId="6F435788" w:rsidR="003A46CD" w:rsidRDefault="003A46CD" w:rsidP="003A46CD">
      <w:pPr>
        <w:widowControl w:val="0"/>
        <w:autoSpaceDE w:val="0"/>
        <w:autoSpaceDN w:val="0"/>
        <w:adjustRightInd w:val="0"/>
        <w:rPr>
          <w:rFonts w:cs="Arial"/>
          <w:b/>
          <w:sz w:val="22"/>
          <w:szCs w:val="22"/>
        </w:rPr>
      </w:pPr>
      <w:r>
        <w:rPr>
          <w:rFonts w:cs="Arial"/>
          <w:b/>
          <w:sz w:val="22"/>
          <w:szCs w:val="22"/>
        </w:rPr>
        <w:t xml:space="preserve">Questions asked </w:t>
      </w:r>
      <w:r w:rsidR="000B2A4A">
        <w:rPr>
          <w:rFonts w:cs="Arial"/>
          <w:b/>
          <w:sz w:val="22"/>
          <w:szCs w:val="22"/>
        </w:rPr>
        <w:t>after</w:t>
      </w:r>
      <w:r>
        <w:rPr>
          <w:rFonts w:cs="Arial"/>
          <w:b/>
          <w:sz w:val="22"/>
          <w:szCs w:val="22"/>
        </w:rPr>
        <w:t xml:space="preserve"> RFP Conference: </w:t>
      </w:r>
    </w:p>
    <w:p w14:paraId="2D1D7509" w14:textId="77777777" w:rsidR="003A46CD" w:rsidRDefault="003A46CD" w:rsidP="003A46CD">
      <w:pPr>
        <w:widowControl w:val="0"/>
        <w:autoSpaceDE w:val="0"/>
        <w:autoSpaceDN w:val="0"/>
        <w:adjustRightInd w:val="0"/>
        <w:rPr>
          <w:rFonts w:cs="Arial"/>
          <w:b/>
          <w:sz w:val="22"/>
          <w:szCs w:val="22"/>
        </w:rPr>
      </w:pPr>
    </w:p>
    <w:p w14:paraId="7CAFFCFE" w14:textId="63A3AD29" w:rsidR="003A46CD" w:rsidRPr="003C7D14" w:rsidRDefault="003A46CD" w:rsidP="003C7D14">
      <w:pPr>
        <w:spacing w:after="160" w:line="252" w:lineRule="auto"/>
        <w:ind w:left="720" w:hanging="720"/>
        <w:rPr>
          <w:rFonts w:ascii="Calibri" w:hAnsi="Calibri"/>
        </w:rPr>
      </w:pPr>
      <w:r w:rsidRPr="003C7D14">
        <w:rPr>
          <w:rFonts w:cs="Arial"/>
          <w:b/>
          <w:sz w:val="22"/>
          <w:szCs w:val="22"/>
        </w:rPr>
        <w:t>Q1.</w:t>
      </w:r>
      <w:r w:rsidRPr="003C7D14">
        <w:rPr>
          <w:rFonts w:cs="Arial"/>
          <w:sz w:val="22"/>
          <w:szCs w:val="22"/>
        </w:rPr>
        <w:t xml:space="preserve"> </w:t>
      </w:r>
      <w:r w:rsidRPr="003C7D14">
        <w:rPr>
          <w:rFonts w:cs="Arial"/>
          <w:sz w:val="22"/>
          <w:szCs w:val="22"/>
        </w:rPr>
        <w:tab/>
      </w:r>
      <w:r w:rsidR="003C7D14" w:rsidRPr="003C7D14">
        <w:rPr>
          <w:sz w:val="22"/>
          <w:szCs w:val="22"/>
        </w:rPr>
        <w:t xml:space="preserve">I remain puzzled/confused as to the reference to a “14-day limit on a QRTP group home.” Would you provide the provision of the OAC/ORC cite that addresses this? Or, provide the FFPSA reference that would provide clarification?  </w:t>
      </w:r>
    </w:p>
    <w:p w14:paraId="75CDD186" w14:textId="401011D0" w:rsidR="003B43E6" w:rsidRPr="00657077" w:rsidRDefault="003B43E6" w:rsidP="003B43E6">
      <w:pPr>
        <w:pStyle w:val="ListParagraph"/>
        <w:numPr>
          <w:ilvl w:val="0"/>
          <w:numId w:val="1"/>
        </w:numPr>
        <w:tabs>
          <w:tab w:val="left" w:pos="1080"/>
        </w:tabs>
        <w:ind w:left="720" w:firstLine="0"/>
        <w:rPr>
          <w:rFonts w:ascii="Calibri" w:hAnsi="Calibri"/>
          <w:sz w:val="22"/>
          <w:szCs w:val="22"/>
        </w:rPr>
      </w:pPr>
      <w:r w:rsidRPr="003B43E6">
        <w:rPr>
          <w:sz w:val="22"/>
          <w:szCs w:val="22"/>
        </w:rPr>
        <w:t xml:space="preserve">The limit is not on a QRTP group home. It is for congregate care placements that are not QRTPs.  </w:t>
      </w:r>
    </w:p>
    <w:p w14:paraId="3D1C63E3" w14:textId="0530DF6C" w:rsidR="00657077" w:rsidRPr="003B43E6" w:rsidRDefault="00657077" w:rsidP="003B43E6">
      <w:pPr>
        <w:tabs>
          <w:tab w:val="left" w:pos="1080"/>
        </w:tabs>
        <w:rPr>
          <w:b/>
          <w:bCs/>
          <w:color w:val="FF0000"/>
          <w:sz w:val="22"/>
          <w:szCs w:val="22"/>
        </w:rPr>
      </w:pPr>
    </w:p>
    <w:p w14:paraId="3BF7225D" w14:textId="58637ED0" w:rsidR="00657077" w:rsidRDefault="001D4ED7" w:rsidP="001D4ED7">
      <w:pPr>
        <w:rPr>
          <w:sz w:val="22"/>
          <w:szCs w:val="22"/>
        </w:rPr>
      </w:pPr>
      <w:r w:rsidRPr="001D4ED7">
        <w:rPr>
          <w:b/>
          <w:bCs/>
          <w:sz w:val="22"/>
          <w:szCs w:val="22"/>
        </w:rPr>
        <w:t>Q2.</w:t>
      </w:r>
      <w:r>
        <w:rPr>
          <w:sz w:val="22"/>
          <w:szCs w:val="22"/>
        </w:rPr>
        <w:t xml:space="preserve"> </w:t>
      </w:r>
      <w:r>
        <w:rPr>
          <w:sz w:val="22"/>
          <w:szCs w:val="22"/>
        </w:rPr>
        <w:tab/>
      </w:r>
      <w:r w:rsidR="00657077" w:rsidRPr="001D4ED7">
        <w:rPr>
          <w:sz w:val="22"/>
          <w:szCs w:val="22"/>
        </w:rPr>
        <w:t>Is there a specific independent living skills assessment that providers must use?</w:t>
      </w:r>
    </w:p>
    <w:p w14:paraId="7C04D06B" w14:textId="5FBC976C" w:rsidR="001D4ED7" w:rsidRDefault="001D4ED7" w:rsidP="001D4ED7">
      <w:pPr>
        <w:rPr>
          <w:sz w:val="22"/>
          <w:szCs w:val="22"/>
        </w:rPr>
      </w:pPr>
    </w:p>
    <w:p w14:paraId="610A027E" w14:textId="02B0E12E" w:rsidR="001D4ED7" w:rsidRPr="00C6299B" w:rsidRDefault="004844EB" w:rsidP="00083718">
      <w:pPr>
        <w:pStyle w:val="ListParagraph"/>
        <w:numPr>
          <w:ilvl w:val="0"/>
          <w:numId w:val="2"/>
        </w:numPr>
        <w:tabs>
          <w:tab w:val="left" w:pos="1080"/>
        </w:tabs>
        <w:ind w:firstLine="0"/>
        <w:rPr>
          <w:rFonts w:cs="Arial"/>
          <w:sz w:val="22"/>
          <w:szCs w:val="22"/>
        </w:rPr>
      </w:pPr>
      <w:r w:rsidRPr="00C6299B">
        <w:rPr>
          <w:rFonts w:cs="Arial"/>
          <w:sz w:val="22"/>
          <w:szCs w:val="22"/>
        </w:rPr>
        <w:t xml:space="preserve">The IL skills assessment must meet the OAC requirements.  </w:t>
      </w:r>
    </w:p>
    <w:p w14:paraId="5D63CCA8" w14:textId="77777777" w:rsidR="001D4ED7" w:rsidRPr="001D4ED7" w:rsidRDefault="001D4ED7" w:rsidP="001D4ED7">
      <w:pPr>
        <w:pStyle w:val="ListParagraph"/>
        <w:tabs>
          <w:tab w:val="left" w:pos="1080"/>
        </w:tabs>
        <w:rPr>
          <w:rFonts w:ascii="Calibri" w:hAnsi="Calibri"/>
          <w:b/>
          <w:bCs/>
          <w:sz w:val="22"/>
          <w:szCs w:val="22"/>
        </w:rPr>
      </w:pPr>
    </w:p>
    <w:p w14:paraId="12EE1C0F" w14:textId="4C761C7E" w:rsidR="00657077" w:rsidRDefault="001D4ED7" w:rsidP="001D4ED7">
      <w:pPr>
        <w:rPr>
          <w:sz w:val="22"/>
          <w:szCs w:val="22"/>
        </w:rPr>
      </w:pPr>
      <w:r w:rsidRPr="001D4ED7">
        <w:rPr>
          <w:b/>
          <w:bCs/>
          <w:sz w:val="22"/>
          <w:szCs w:val="22"/>
        </w:rPr>
        <w:t>Q3.</w:t>
      </w:r>
      <w:r>
        <w:rPr>
          <w:sz w:val="22"/>
          <w:szCs w:val="22"/>
        </w:rPr>
        <w:tab/>
      </w:r>
      <w:r w:rsidR="00657077" w:rsidRPr="001D4ED7">
        <w:rPr>
          <w:sz w:val="22"/>
          <w:szCs w:val="22"/>
        </w:rPr>
        <w:t>Can we get an excel version of the budget spreadsheet?</w:t>
      </w:r>
    </w:p>
    <w:p w14:paraId="6A2FEBF5" w14:textId="4B7BFC35" w:rsidR="001D4ED7" w:rsidRDefault="001D4ED7" w:rsidP="001D4ED7">
      <w:pPr>
        <w:rPr>
          <w:sz w:val="22"/>
          <w:szCs w:val="22"/>
        </w:rPr>
      </w:pPr>
    </w:p>
    <w:p w14:paraId="6E874DCD" w14:textId="0146C277" w:rsidR="001D4ED7" w:rsidRDefault="001D4ED7" w:rsidP="00083718">
      <w:pPr>
        <w:pStyle w:val="ListParagraph"/>
        <w:numPr>
          <w:ilvl w:val="0"/>
          <w:numId w:val="3"/>
        </w:numPr>
        <w:tabs>
          <w:tab w:val="left" w:pos="1080"/>
        </w:tabs>
        <w:ind w:left="720" w:firstLine="0"/>
        <w:rPr>
          <w:sz w:val="22"/>
          <w:szCs w:val="22"/>
        </w:rPr>
      </w:pPr>
      <w:r>
        <w:rPr>
          <w:sz w:val="22"/>
          <w:szCs w:val="22"/>
        </w:rPr>
        <w:t xml:space="preserve">Excel budget </w:t>
      </w:r>
      <w:r w:rsidR="00DA0745">
        <w:rPr>
          <w:sz w:val="22"/>
          <w:szCs w:val="22"/>
        </w:rPr>
        <w:t>wa</w:t>
      </w:r>
      <w:r>
        <w:rPr>
          <w:sz w:val="22"/>
          <w:szCs w:val="22"/>
        </w:rPr>
        <w:t xml:space="preserve">s included as </w:t>
      </w:r>
      <w:r w:rsidR="0033758B">
        <w:rPr>
          <w:sz w:val="22"/>
          <w:szCs w:val="22"/>
        </w:rPr>
        <w:t xml:space="preserve">part of </w:t>
      </w:r>
      <w:r>
        <w:rPr>
          <w:sz w:val="22"/>
          <w:szCs w:val="22"/>
        </w:rPr>
        <w:t xml:space="preserve">Addendum </w:t>
      </w:r>
      <w:r w:rsidR="0088770F">
        <w:rPr>
          <w:sz w:val="22"/>
          <w:szCs w:val="22"/>
        </w:rPr>
        <w:t>4</w:t>
      </w:r>
      <w:r w:rsidR="001A449B">
        <w:rPr>
          <w:sz w:val="22"/>
          <w:szCs w:val="22"/>
        </w:rPr>
        <w:t xml:space="preserve">, </w:t>
      </w:r>
      <w:r>
        <w:rPr>
          <w:sz w:val="22"/>
          <w:szCs w:val="22"/>
        </w:rPr>
        <w:t>along with the cover sheet and program component checklist.</w:t>
      </w:r>
    </w:p>
    <w:p w14:paraId="3CCBCAD7" w14:textId="665D0867" w:rsidR="003D72FC" w:rsidRDefault="003D72FC" w:rsidP="003D72FC">
      <w:pPr>
        <w:pStyle w:val="ListParagraph"/>
        <w:tabs>
          <w:tab w:val="left" w:pos="1080"/>
        </w:tabs>
        <w:rPr>
          <w:sz w:val="22"/>
          <w:szCs w:val="22"/>
        </w:rPr>
      </w:pPr>
    </w:p>
    <w:p w14:paraId="1A183AED" w14:textId="2E9951F7" w:rsidR="0089197C" w:rsidRDefault="0089197C" w:rsidP="003D72FC">
      <w:pPr>
        <w:pStyle w:val="ListParagraph"/>
        <w:tabs>
          <w:tab w:val="left" w:pos="1080"/>
        </w:tabs>
        <w:rPr>
          <w:sz w:val="22"/>
          <w:szCs w:val="22"/>
        </w:rPr>
      </w:pPr>
    </w:p>
    <w:p w14:paraId="4AEA4F97" w14:textId="19FC2C0C" w:rsidR="0089197C" w:rsidRDefault="0089197C" w:rsidP="003D72FC">
      <w:pPr>
        <w:pStyle w:val="ListParagraph"/>
        <w:tabs>
          <w:tab w:val="left" w:pos="1080"/>
        </w:tabs>
        <w:rPr>
          <w:sz w:val="22"/>
          <w:szCs w:val="22"/>
        </w:rPr>
      </w:pPr>
    </w:p>
    <w:p w14:paraId="7A329A2E" w14:textId="0251BE0B" w:rsidR="0089197C" w:rsidRDefault="0089197C" w:rsidP="003D72FC">
      <w:pPr>
        <w:pStyle w:val="ListParagraph"/>
        <w:tabs>
          <w:tab w:val="left" w:pos="1080"/>
        </w:tabs>
        <w:rPr>
          <w:sz w:val="22"/>
          <w:szCs w:val="22"/>
        </w:rPr>
      </w:pPr>
    </w:p>
    <w:p w14:paraId="14F44BB2" w14:textId="7B0898C5" w:rsidR="0089197C" w:rsidRDefault="0089197C" w:rsidP="003D72FC">
      <w:pPr>
        <w:pStyle w:val="ListParagraph"/>
        <w:tabs>
          <w:tab w:val="left" w:pos="1080"/>
        </w:tabs>
        <w:rPr>
          <w:sz w:val="22"/>
          <w:szCs w:val="22"/>
        </w:rPr>
      </w:pPr>
    </w:p>
    <w:p w14:paraId="13D9BBC0" w14:textId="230463BB" w:rsidR="0089197C" w:rsidRDefault="0089197C" w:rsidP="003D72FC">
      <w:pPr>
        <w:pStyle w:val="ListParagraph"/>
        <w:tabs>
          <w:tab w:val="left" w:pos="1080"/>
        </w:tabs>
        <w:rPr>
          <w:sz w:val="22"/>
          <w:szCs w:val="22"/>
        </w:rPr>
      </w:pPr>
    </w:p>
    <w:p w14:paraId="7A72D280" w14:textId="0C57474C" w:rsidR="0089197C" w:rsidRDefault="0089197C" w:rsidP="003D72FC">
      <w:pPr>
        <w:pStyle w:val="ListParagraph"/>
        <w:tabs>
          <w:tab w:val="left" w:pos="1080"/>
        </w:tabs>
        <w:rPr>
          <w:sz w:val="22"/>
          <w:szCs w:val="22"/>
        </w:rPr>
      </w:pPr>
    </w:p>
    <w:p w14:paraId="0B56DAF8" w14:textId="77777777" w:rsidR="001A449B" w:rsidRDefault="001A449B" w:rsidP="003D72FC">
      <w:pPr>
        <w:pStyle w:val="ListParagraph"/>
        <w:tabs>
          <w:tab w:val="left" w:pos="1080"/>
        </w:tabs>
        <w:rPr>
          <w:sz w:val="22"/>
          <w:szCs w:val="22"/>
        </w:rPr>
      </w:pPr>
    </w:p>
    <w:p w14:paraId="56228231" w14:textId="7C3A34A7" w:rsidR="003D72FC" w:rsidRDefault="003D72FC" w:rsidP="003D72FC">
      <w:pPr>
        <w:ind w:left="720" w:hanging="720"/>
        <w:rPr>
          <w:sz w:val="22"/>
          <w:szCs w:val="22"/>
        </w:rPr>
      </w:pPr>
      <w:r w:rsidRPr="003D72FC">
        <w:rPr>
          <w:b/>
          <w:bCs/>
          <w:sz w:val="22"/>
          <w:szCs w:val="22"/>
        </w:rPr>
        <w:lastRenderedPageBreak/>
        <w:t xml:space="preserve">Q4. </w:t>
      </w:r>
      <w:r>
        <w:rPr>
          <w:sz w:val="22"/>
          <w:szCs w:val="22"/>
        </w:rPr>
        <w:tab/>
      </w:r>
      <w:r w:rsidRPr="003D72FC">
        <w:rPr>
          <w:sz w:val="22"/>
          <w:szCs w:val="22"/>
        </w:rPr>
        <w:t>Our team is working on completing the paperwork as needed to provide services for the youth in Hamilton County. As we are going through the paperwork, we wanted to ensure we are completing it correctly. We have facilities in several different states and want to be sure that all are options for your clients. Do we need to complete an application for each facility or as a company as a whole?</w:t>
      </w:r>
    </w:p>
    <w:p w14:paraId="6002EF24" w14:textId="6B9D174F" w:rsidR="003D72FC" w:rsidRDefault="003D72FC" w:rsidP="003D72FC">
      <w:pPr>
        <w:ind w:left="720" w:hanging="720"/>
        <w:rPr>
          <w:rFonts w:ascii="Calibri" w:hAnsi="Calibri"/>
        </w:rPr>
      </w:pPr>
    </w:p>
    <w:p w14:paraId="04942CBC" w14:textId="62560351" w:rsidR="003D72FC" w:rsidRPr="003D72FC" w:rsidRDefault="003D72FC" w:rsidP="00083718">
      <w:pPr>
        <w:pStyle w:val="ListParagraph"/>
        <w:numPr>
          <w:ilvl w:val="0"/>
          <w:numId w:val="4"/>
        </w:numPr>
        <w:tabs>
          <w:tab w:val="left" w:pos="1080"/>
        </w:tabs>
        <w:ind w:left="720" w:firstLine="0"/>
        <w:rPr>
          <w:rFonts w:ascii="Calibri" w:hAnsi="Calibri"/>
        </w:rPr>
      </w:pPr>
      <w:r>
        <w:rPr>
          <w:rFonts w:cs="Arial"/>
          <w:sz w:val="22"/>
          <w:szCs w:val="22"/>
        </w:rPr>
        <w:t>Only one proposal needs to be submitted for your entire agency. Section 2.8 of the RFP asks for contact information for Provider’s headquarters and service location</w:t>
      </w:r>
      <w:r w:rsidR="003A0D1A">
        <w:rPr>
          <w:rFonts w:cs="Arial"/>
          <w:sz w:val="22"/>
          <w:szCs w:val="22"/>
        </w:rPr>
        <w:t>s.</w:t>
      </w:r>
    </w:p>
    <w:p w14:paraId="488C6CAD" w14:textId="4E31F9B2" w:rsidR="003D72FC" w:rsidRDefault="003D72FC" w:rsidP="003D72FC">
      <w:pPr>
        <w:pStyle w:val="ListParagraph"/>
        <w:tabs>
          <w:tab w:val="left" w:pos="1080"/>
        </w:tabs>
        <w:rPr>
          <w:rFonts w:cs="Arial"/>
          <w:sz w:val="22"/>
          <w:szCs w:val="22"/>
        </w:rPr>
      </w:pPr>
    </w:p>
    <w:p w14:paraId="6E44FB20" w14:textId="574AF540" w:rsidR="003D72FC" w:rsidRDefault="003D72FC" w:rsidP="003D72FC">
      <w:pPr>
        <w:pStyle w:val="ListParagraph"/>
        <w:tabs>
          <w:tab w:val="left" w:pos="1080"/>
        </w:tabs>
        <w:rPr>
          <w:rFonts w:cs="Arial"/>
          <w:sz w:val="22"/>
          <w:szCs w:val="22"/>
        </w:rPr>
      </w:pPr>
      <w:r>
        <w:rPr>
          <w:rFonts w:cs="Arial"/>
          <w:sz w:val="22"/>
          <w:szCs w:val="22"/>
        </w:rPr>
        <w:t xml:space="preserve">You also have an opportunity to discuss different service locations in </w:t>
      </w:r>
      <w:r w:rsidR="003A0D1A">
        <w:rPr>
          <w:rFonts w:cs="Arial"/>
          <w:sz w:val="22"/>
          <w:szCs w:val="22"/>
        </w:rPr>
        <w:t xml:space="preserve">RFP </w:t>
      </w:r>
      <w:r>
        <w:rPr>
          <w:rFonts w:cs="Arial"/>
          <w:sz w:val="22"/>
          <w:szCs w:val="22"/>
        </w:rPr>
        <w:t xml:space="preserve">Section 1.2.2 (C) – Licensure, Administration and Training – question 12. </w:t>
      </w:r>
    </w:p>
    <w:p w14:paraId="71AF80FF" w14:textId="74F4B44A" w:rsidR="00017C65" w:rsidRDefault="00017C65" w:rsidP="003D72FC">
      <w:pPr>
        <w:pStyle w:val="ListParagraph"/>
        <w:tabs>
          <w:tab w:val="left" w:pos="1080"/>
        </w:tabs>
        <w:rPr>
          <w:rFonts w:cs="Arial"/>
          <w:sz w:val="22"/>
          <w:szCs w:val="22"/>
        </w:rPr>
      </w:pPr>
    </w:p>
    <w:p w14:paraId="7BA09AE6" w14:textId="77777777" w:rsidR="00017C65" w:rsidRPr="00017C65" w:rsidRDefault="00017C65" w:rsidP="00017C65">
      <w:pPr>
        <w:ind w:left="720" w:hanging="720"/>
        <w:rPr>
          <w:rFonts w:cs="Arial"/>
          <w:color w:val="000000"/>
          <w:sz w:val="22"/>
          <w:szCs w:val="22"/>
        </w:rPr>
      </w:pPr>
      <w:r w:rsidRPr="00017C65">
        <w:rPr>
          <w:rFonts w:cs="Arial"/>
          <w:b/>
          <w:bCs/>
          <w:sz w:val="22"/>
          <w:szCs w:val="22"/>
        </w:rPr>
        <w:t>Q5.</w:t>
      </w:r>
      <w:r w:rsidRPr="00017C65">
        <w:rPr>
          <w:rFonts w:cs="Arial"/>
          <w:sz w:val="22"/>
          <w:szCs w:val="22"/>
        </w:rPr>
        <w:tab/>
      </w:r>
      <w:r w:rsidRPr="00017C65">
        <w:rPr>
          <w:rFonts w:cs="Arial"/>
          <w:color w:val="000000"/>
          <w:sz w:val="22"/>
          <w:szCs w:val="22"/>
        </w:rPr>
        <w:t xml:space="preserve">I am trying to clarify a question/answer from Addendum 2 regarding the frequency of criminal background checks.  </w:t>
      </w:r>
      <w:r w:rsidRPr="00017C65">
        <w:rPr>
          <w:rFonts w:cs="Arial"/>
          <w:b/>
          <w:bCs/>
          <w:color w:val="000000"/>
          <w:sz w:val="22"/>
          <w:szCs w:val="22"/>
        </w:rPr>
        <w:t>Page 15 of RFP stating an annual record transcript will be obtained from the local police department or appropriate county sheriff's office and BCI/FBI check every 2 years.</w:t>
      </w:r>
    </w:p>
    <w:p w14:paraId="5B635424" w14:textId="77777777" w:rsidR="00017C65" w:rsidRPr="00017C65" w:rsidRDefault="00017C65" w:rsidP="00017C65">
      <w:pPr>
        <w:rPr>
          <w:rFonts w:cs="Arial"/>
          <w:color w:val="000000"/>
          <w:sz w:val="22"/>
          <w:szCs w:val="22"/>
        </w:rPr>
      </w:pPr>
    </w:p>
    <w:p w14:paraId="0C9FBE93" w14:textId="77777777" w:rsidR="00017C65" w:rsidRPr="00017C65" w:rsidRDefault="00017C65" w:rsidP="00017C65">
      <w:pPr>
        <w:ind w:left="720"/>
        <w:rPr>
          <w:rFonts w:cs="Arial"/>
          <w:color w:val="000000"/>
          <w:sz w:val="22"/>
          <w:szCs w:val="22"/>
        </w:rPr>
      </w:pPr>
      <w:r w:rsidRPr="00017C65">
        <w:rPr>
          <w:rFonts w:cs="Arial"/>
          <w:color w:val="000000"/>
          <w:sz w:val="22"/>
          <w:szCs w:val="22"/>
        </w:rPr>
        <w:t xml:space="preserve">The Answer from Hamilton County was two parts with the first part stating that Hamilton County's expectation is that the BCI/FBI checks were completed </w:t>
      </w:r>
      <w:r w:rsidRPr="00017C65">
        <w:rPr>
          <w:rFonts w:cs="Arial"/>
          <w:b/>
          <w:bCs/>
          <w:color w:val="000000"/>
          <w:sz w:val="22"/>
          <w:szCs w:val="22"/>
        </w:rPr>
        <w:t xml:space="preserve">annually </w:t>
      </w:r>
      <w:r w:rsidRPr="00017C65">
        <w:rPr>
          <w:rFonts w:cs="Arial"/>
          <w:color w:val="000000"/>
          <w:sz w:val="22"/>
          <w:szCs w:val="22"/>
        </w:rPr>
        <w:t>which seems to contradict the RFP and secondly that Hamilton County would need to know who is conducting the BCI/FBI</w:t>
      </w:r>
    </w:p>
    <w:p w14:paraId="675ECA8B" w14:textId="77777777" w:rsidR="00017C65" w:rsidRPr="00017C65" w:rsidRDefault="00017C65" w:rsidP="00017C65">
      <w:pPr>
        <w:rPr>
          <w:rFonts w:cs="Arial"/>
          <w:color w:val="000000"/>
          <w:sz w:val="22"/>
          <w:szCs w:val="22"/>
        </w:rPr>
      </w:pPr>
    </w:p>
    <w:p w14:paraId="3A8D18BA" w14:textId="77777777" w:rsidR="00017C65" w:rsidRPr="00017C65" w:rsidRDefault="00017C65" w:rsidP="00017C65">
      <w:pPr>
        <w:ind w:firstLine="720"/>
        <w:rPr>
          <w:rFonts w:cs="Arial"/>
          <w:color w:val="000000"/>
          <w:sz w:val="22"/>
          <w:szCs w:val="22"/>
        </w:rPr>
      </w:pPr>
      <w:r w:rsidRPr="00017C65">
        <w:rPr>
          <w:rFonts w:cs="Arial"/>
          <w:color w:val="000000"/>
          <w:sz w:val="22"/>
          <w:szCs w:val="22"/>
        </w:rPr>
        <w:t>For clarification:</w:t>
      </w:r>
    </w:p>
    <w:p w14:paraId="51FA766E" w14:textId="31830F0B" w:rsidR="00017C65" w:rsidRDefault="00017C65" w:rsidP="00083718">
      <w:pPr>
        <w:pStyle w:val="ListParagraph"/>
        <w:numPr>
          <w:ilvl w:val="0"/>
          <w:numId w:val="5"/>
        </w:numPr>
        <w:rPr>
          <w:rFonts w:cs="Arial"/>
          <w:color w:val="000000"/>
          <w:sz w:val="22"/>
          <w:szCs w:val="22"/>
        </w:rPr>
      </w:pPr>
      <w:r w:rsidRPr="00017C65">
        <w:rPr>
          <w:rFonts w:cs="Arial"/>
          <w:color w:val="000000"/>
          <w:sz w:val="22"/>
          <w:szCs w:val="22"/>
        </w:rPr>
        <w:t>For agencies using the RAPBACK system- this was understood to replace sheriff reports because it automatically informs the agency on any arrests over any county (not just the local sheriff office) Is this acceptable in lieu of the sheriff/local police check?</w:t>
      </w:r>
    </w:p>
    <w:p w14:paraId="39C87846" w14:textId="77777777" w:rsidR="0058073E" w:rsidRDefault="0058073E" w:rsidP="00C86FAE">
      <w:pPr>
        <w:ind w:left="1440" w:hanging="360"/>
        <w:rPr>
          <w:rFonts w:cs="Arial"/>
          <w:b/>
          <w:bCs/>
          <w:color w:val="FF0000"/>
          <w:sz w:val="22"/>
          <w:szCs w:val="22"/>
        </w:rPr>
      </w:pPr>
    </w:p>
    <w:p w14:paraId="0BE4DE29" w14:textId="6254EF37" w:rsidR="00285B71" w:rsidRPr="00C6299B" w:rsidRDefault="0058073E" w:rsidP="00C6299B">
      <w:pPr>
        <w:pStyle w:val="ListParagraph"/>
        <w:numPr>
          <w:ilvl w:val="0"/>
          <w:numId w:val="43"/>
        </w:numPr>
        <w:ind w:left="1080"/>
        <w:rPr>
          <w:rFonts w:cs="Arial"/>
          <w:sz w:val="22"/>
          <w:szCs w:val="22"/>
        </w:rPr>
      </w:pPr>
      <w:r w:rsidRPr="00C6299B">
        <w:rPr>
          <w:rFonts w:cs="Arial"/>
          <w:sz w:val="22"/>
          <w:szCs w:val="22"/>
        </w:rPr>
        <w:t xml:space="preserve">There must be a local check.  </w:t>
      </w:r>
    </w:p>
    <w:p w14:paraId="109E3228" w14:textId="77777777" w:rsidR="00017C65" w:rsidRPr="00017C65" w:rsidRDefault="00017C65" w:rsidP="00017C65">
      <w:pPr>
        <w:rPr>
          <w:rFonts w:cs="Arial"/>
          <w:color w:val="000000"/>
          <w:sz w:val="22"/>
          <w:szCs w:val="22"/>
        </w:rPr>
      </w:pPr>
    </w:p>
    <w:p w14:paraId="1FF6D3FE" w14:textId="67627830" w:rsidR="00017C65" w:rsidRPr="00017C65" w:rsidRDefault="00017C65" w:rsidP="00083718">
      <w:pPr>
        <w:pStyle w:val="ListParagraph"/>
        <w:numPr>
          <w:ilvl w:val="0"/>
          <w:numId w:val="5"/>
        </w:numPr>
        <w:rPr>
          <w:rFonts w:cs="Arial"/>
          <w:color w:val="000000"/>
          <w:sz w:val="22"/>
          <w:szCs w:val="22"/>
        </w:rPr>
      </w:pPr>
      <w:r w:rsidRPr="00017C65">
        <w:rPr>
          <w:rFonts w:cs="Arial"/>
          <w:color w:val="000000"/>
          <w:sz w:val="22"/>
          <w:szCs w:val="22"/>
        </w:rPr>
        <w:t>Does Hamilton County expect the BCI/FBI every 2 years as in RFP or every year as in Addendum 2?</w:t>
      </w:r>
    </w:p>
    <w:p w14:paraId="5B2F783C" w14:textId="77777777" w:rsidR="00017C65" w:rsidRPr="00017C65" w:rsidRDefault="00017C65" w:rsidP="00017C65">
      <w:pPr>
        <w:rPr>
          <w:rFonts w:cs="Arial"/>
          <w:color w:val="000000"/>
          <w:sz w:val="22"/>
          <w:szCs w:val="22"/>
        </w:rPr>
      </w:pPr>
    </w:p>
    <w:p w14:paraId="47248225" w14:textId="5131EEF6" w:rsidR="00017C65" w:rsidRPr="00017C65" w:rsidRDefault="00017C65" w:rsidP="00083718">
      <w:pPr>
        <w:pStyle w:val="ListParagraph"/>
        <w:numPr>
          <w:ilvl w:val="0"/>
          <w:numId w:val="5"/>
        </w:numPr>
        <w:rPr>
          <w:rFonts w:cs="Arial"/>
          <w:color w:val="000000"/>
          <w:sz w:val="22"/>
          <w:szCs w:val="22"/>
        </w:rPr>
      </w:pPr>
      <w:r w:rsidRPr="00017C65">
        <w:rPr>
          <w:rFonts w:cs="Arial"/>
          <w:color w:val="000000"/>
          <w:sz w:val="22"/>
          <w:szCs w:val="22"/>
        </w:rPr>
        <w:t>Agencies are required to run BCI/FBI and registry checks every 4 years.  If required to increase the frequency for a Hamilton County contract- is it required only for those direct care staff within the residential services?</w:t>
      </w:r>
    </w:p>
    <w:p w14:paraId="6AB56C3F" w14:textId="5EA191F1" w:rsidR="00017C65" w:rsidRPr="003D72FC" w:rsidRDefault="00017C65" w:rsidP="00017C65">
      <w:pPr>
        <w:pStyle w:val="ListParagraph"/>
        <w:tabs>
          <w:tab w:val="left" w:pos="1080"/>
        </w:tabs>
        <w:ind w:hanging="720"/>
        <w:rPr>
          <w:rFonts w:ascii="Calibri" w:hAnsi="Calibri"/>
        </w:rPr>
      </w:pPr>
    </w:p>
    <w:p w14:paraId="58D47E37" w14:textId="43882F7B" w:rsidR="008B0CF3" w:rsidRPr="00895568" w:rsidRDefault="00C32BD8" w:rsidP="00CC697C">
      <w:pPr>
        <w:pStyle w:val="ListParagraph"/>
        <w:numPr>
          <w:ilvl w:val="0"/>
          <w:numId w:val="6"/>
        </w:numPr>
        <w:tabs>
          <w:tab w:val="left" w:pos="720"/>
          <w:tab w:val="left" w:pos="1080"/>
        </w:tabs>
        <w:ind w:left="720" w:firstLine="0"/>
        <w:rPr>
          <w:rFonts w:ascii="Calibri" w:hAnsi="Calibri"/>
        </w:rPr>
      </w:pPr>
      <w:r w:rsidRPr="00895568">
        <w:rPr>
          <w:rFonts w:cs="Arial"/>
          <w:sz w:val="22"/>
          <w:szCs w:val="22"/>
        </w:rPr>
        <w:t xml:space="preserve">The following is for </w:t>
      </w:r>
      <w:r w:rsidR="00C34E08" w:rsidRPr="00895568">
        <w:rPr>
          <w:rFonts w:cs="Arial"/>
          <w:sz w:val="22"/>
          <w:szCs w:val="22"/>
        </w:rPr>
        <w:t>b and c above.</w:t>
      </w:r>
      <w:r w:rsidR="00A61CAA" w:rsidRPr="00895568">
        <w:rPr>
          <w:rFonts w:cs="Arial"/>
          <w:sz w:val="22"/>
          <w:szCs w:val="22"/>
        </w:rPr>
        <w:t xml:space="preserve"> </w:t>
      </w:r>
      <w:r w:rsidR="008B07C7" w:rsidRPr="00895568">
        <w:rPr>
          <w:rFonts w:cs="Arial"/>
          <w:sz w:val="22"/>
          <w:szCs w:val="22"/>
        </w:rPr>
        <w:t xml:space="preserve">The RFP </w:t>
      </w:r>
      <w:r w:rsidR="00C34E08" w:rsidRPr="00895568">
        <w:rPr>
          <w:rFonts w:cs="Arial"/>
          <w:sz w:val="22"/>
          <w:szCs w:val="22"/>
        </w:rPr>
        <w:t>conflicted with</w:t>
      </w:r>
      <w:r w:rsidR="008B07C7" w:rsidRPr="00895568">
        <w:rPr>
          <w:rFonts w:cs="Arial"/>
          <w:sz w:val="22"/>
          <w:szCs w:val="22"/>
        </w:rPr>
        <w:t xml:space="preserve"> itself between pages 15 and 22.  </w:t>
      </w:r>
      <w:r w:rsidR="009A664C" w:rsidRPr="00895568">
        <w:rPr>
          <w:rFonts w:cs="Arial"/>
          <w:sz w:val="22"/>
          <w:szCs w:val="22"/>
        </w:rPr>
        <w:t>Addenda 2 provided clarification that it would be an annual requirement. Additionally</w:t>
      </w:r>
      <w:r w:rsidRPr="00895568">
        <w:rPr>
          <w:rFonts w:cs="Arial"/>
          <w:sz w:val="22"/>
          <w:szCs w:val="22"/>
        </w:rPr>
        <w:t>,</w:t>
      </w:r>
      <w:r w:rsidR="009A664C" w:rsidRPr="00895568">
        <w:rPr>
          <w:rFonts w:cs="Arial"/>
          <w:sz w:val="22"/>
          <w:szCs w:val="22"/>
        </w:rPr>
        <w:t xml:space="preserve"> the screeni</w:t>
      </w:r>
      <w:r w:rsidR="00A61CAA" w:rsidRPr="00895568">
        <w:rPr>
          <w:rFonts w:cs="Arial"/>
          <w:sz w:val="22"/>
          <w:szCs w:val="22"/>
        </w:rPr>
        <w:t xml:space="preserve">ng </w:t>
      </w:r>
      <w:r w:rsidRPr="00895568">
        <w:rPr>
          <w:rFonts w:cs="Arial"/>
          <w:sz w:val="22"/>
          <w:szCs w:val="22"/>
        </w:rPr>
        <w:t xml:space="preserve">is </w:t>
      </w:r>
      <w:r w:rsidR="00A61CAA" w:rsidRPr="00895568">
        <w:rPr>
          <w:rFonts w:cs="Arial"/>
          <w:sz w:val="22"/>
          <w:szCs w:val="22"/>
        </w:rPr>
        <w:t xml:space="preserve">to be completed </w:t>
      </w:r>
      <w:r w:rsidR="00243234" w:rsidRPr="00895568">
        <w:rPr>
          <w:rFonts w:cs="Arial"/>
          <w:sz w:val="22"/>
          <w:szCs w:val="22"/>
        </w:rPr>
        <w:t>c</w:t>
      </w:r>
      <w:r w:rsidR="002A09A3" w:rsidRPr="00895568">
        <w:rPr>
          <w:rFonts w:cs="Arial"/>
          <w:sz w:val="22"/>
          <w:szCs w:val="22"/>
        </w:rPr>
        <w:t xml:space="preserve">onsistent with OAC </w:t>
      </w:r>
      <w:r w:rsidR="0007019C" w:rsidRPr="00895568">
        <w:rPr>
          <w:rFonts w:cs="Arial"/>
          <w:sz w:val="22"/>
          <w:szCs w:val="22"/>
        </w:rPr>
        <w:t xml:space="preserve">2151.86 </w:t>
      </w:r>
      <w:r w:rsidR="002A09A3" w:rsidRPr="00895568">
        <w:rPr>
          <w:rFonts w:cs="Arial"/>
          <w:sz w:val="22"/>
          <w:szCs w:val="22"/>
        </w:rPr>
        <w:t>requirements</w:t>
      </w:r>
      <w:r w:rsidR="0030394A" w:rsidRPr="00895568">
        <w:rPr>
          <w:rFonts w:cs="Arial"/>
          <w:sz w:val="22"/>
          <w:szCs w:val="22"/>
        </w:rPr>
        <w:t xml:space="preserve"> </w:t>
      </w:r>
      <w:r w:rsidR="00DC0B9D" w:rsidRPr="00895568">
        <w:rPr>
          <w:rFonts w:cs="Arial"/>
          <w:sz w:val="22"/>
          <w:szCs w:val="22"/>
        </w:rPr>
        <w:t xml:space="preserve">with </w:t>
      </w:r>
      <w:r w:rsidR="00E34C67" w:rsidRPr="00895568">
        <w:rPr>
          <w:rFonts w:cs="Arial"/>
          <w:sz w:val="22"/>
          <w:szCs w:val="22"/>
        </w:rPr>
        <w:t xml:space="preserve">individuals </w:t>
      </w:r>
      <w:r w:rsidR="00C059B4" w:rsidRPr="00895568">
        <w:rPr>
          <w:rFonts w:cs="Arial"/>
          <w:sz w:val="22"/>
          <w:szCs w:val="22"/>
        </w:rPr>
        <w:t xml:space="preserve">who </w:t>
      </w:r>
      <w:r w:rsidR="006A4E8A" w:rsidRPr="00895568">
        <w:rPr>
          <w:rFonts w:cs="Arial"/>
          <w:sz w:val="22"/>
          <w:szCs w:val="22"/>
        </w:rPr>
        <w:t>deliver services</w:t>
      </w:r>
      <w:r w:rsidR="007B7C59" w:rsidRPr="00895568">
        <w:rPr>
          <w:rFonts w:cs="Arial"/>
          <w:sz w:val="22"/>
          <w:szCs w:val="22"/>
        </w:rPr>
        <w:t xml:space="preserve"> (employees and volunteers)</w:t>
      </w:r>
      <w:r w:rsidR="006A4E8A" w:rsidRPr="00895568">
        <w:rPr>
          <w:rFonts w:cs="Arial"/>
          <w:sz w:val="22"/>
          <w:szCs w:val="22"/>
        </w:rPr>
        <w:t xml:space="preserve"> to </w:t>
      </w:r>
      <w:r w:rsidR="0083224A" w:rsidRPr="00895568">
        <w:rPr>
          <w:rFonts w:cs="Arial"/>
          <w:sz w:val="22"/>
          <w:szCs w:val="22"/>
        </w:rPr>
        <w:t>Hamilton County customers</w:t>
      </w:r>
      <w:r w:rsidR="00DC0B9D" w:rsidRPr="00895568">
        <w:rPr>
          <w:rFonts w:cs="Arial"/>
          <w:sz w:val="22"/>
          <w:szCs w:val="22"/>
        </w:rPr>
        <w:t xml:space="preserve"> prior to their assignment and annually hereafter</w:t>
      </w:r>
      <w:r w:rsidR="0083224A" w:rsidRPr="00895568">
        <w:rPr>
          <w:rFonts w:cs="Arial"/>
          <w:sz w:val="22"/>
          <w:szCs w:val="22"/>
        </w:rPr>
        <w:t xml:space="preserve">.  </w:t>
      </w:r>
    </w:p>
    <w:p w14:paraId="04D1286D" w14:textId="670894BE" w:rsidR="003D72FC" w:rsidRDefault="003D72FC" w:rsidP="003D72FC">
      <w:pPr>
        <w:pStyle w:val="ListParagraph"/>
        <w:ind w:left="1080"/>
        <w:rPr>
          <w:rFonts w:cs="Arial"/>
          <w:sz w:val="22"/>
          <w:szCs w:val="22"/>
        </w:rPr>
      </w:pPr>
    </w:p>
    <w:p w14:paraId="5C63EB8E" w14:textId="583DD65C" w:rsidR="000660A6" w:rsidRDefault="000660A6" w:rsidP="000660A6">
      <w:pPr>
        <w:tabs>
          <w:tab w:val="left" w:pos="720"/>
        </w:tabs>
        <w:ind w:left="720" w:hanging="720"/>
        <w:rPr>
          <w:sz w:val="22"/>
          <w:szCs w:val="22"/>
        </w:rPr>
      </w:pPr>
      <w:r w:rsidRPr="000660A6">
        <w:rPr>
          <w:b/>
          <w:bCs/>
          <w:sz w:val="22"/>
          <w:szCs w:val="22"/>
        </w:rPr>
        <w:t>Q6.</w:t>
      </w:r>
      <w:r>
        <w:rPr>
          <w:sz w:val="22"/>
          <w:szCs w:val="22"/>
        </w:rPr>
        <w:tab/>
      </w:r>
      <w:r w:rsidRPr="000660A6">
        <w:rPr>
          <w:sz w:val="22"/>
          <w:szCs w:val="22"/>
        </w:rPr>
        <w:t>For out of state programs offering crisis stabilization; is ICPC required for admission into a crisis stabilization program?</w:t>
      </w:r>
    </w:p>
    <w:p w14:paraId="57556CA6" w14:textId="0336055C" w:rsidR="000660A6" w:rsidRDefault="000660A6" w:rsidP="000660A6">
      <w:pPr>
        <w:tabs>
          <w:tab w:val="left" w:pos="720"/>
        </w:tabs>
        <w:ind w:left="720" w:hanging="720"/>
        <w:rPr>
          <w:rFonts w:ascii="Calibri" w:hAnsi="Calibri"/>
          <w:sz w:val="22"/>
          <w:szCs w:val="22"/>
        </w:rPr>
      </w:pPr>
    </w:p>
    <w:p w14:paraId="4A7840DC" w14:textId="6FB3A50B" w:rsidR="000660A6" w:rsidRPr="00B26A87" w:rsidRDefault="00B26A87" w:rsidP="00B26A87">
      <w:pPr>
        <w:pStyle w:val="ListParagraph"/>
        <w:numPr>
          <w:ilvl w:val="0"/>
          <w:numId w:val="7"/>
        </w:numPr>
        <w:tabs>
          <w:tab w:val="left" w:pos="720"/>
        </w:tabs>
        <w:rPr>
          <w:rFonts w:ascii="Calibri" w:hAnsi="Calibri"/>
          <w:sz w:val="22"/>
          <w:szCs w:val="22"/>
        </w:rPr>
      </w:pPr>
      <w:r w:rsidRPr="00B26A87">
        <w:rPr>
          <w:rFonts w:cs="Arial"/>
          <w:sz w:val="22"/>
          <w:szCs w:val="22"/>
        </w:rPr>
        <w:t xml:space="preserve">All out of state placements require ICPC.  </w:t>
      </w:r>
    </w:p>
    <w:p w14:paraId="00507CD5" w14:textId="220262FA" w:rsidR="000660A6" w:rsidRDefault="000660A6" w:rsidP="000660A6">
      <w:pPr>
        <w:rPr>
          <w:sz w:val="22"/>
          <w:szCs w:val="22"/>
        </w:rPr>
      </w:pPr>
      <w:r w:rsidRPr="000660A6">
        <w:rPr>
          <w:sz w:val="22"/>
          <w:szCs w:val="22"/>
        </w:rPr>
        <w:t> </w:t>
      </w:r>
    </w:p>
    <w:p w14:paraId="509BC8A4" w14:textId="77777777" w:rsidR="0089197C" w:rsidRPr="000660A6" w:rsidRDefault="0089197C" w:rsidP="000660A6">
      <w:pPr>
        <w:rPr>
          <w:rFonts w:eastAsiaTheme="minorHAnsi"/>
          <w:sz w:val="22"/>
          <w:szCs w:val="22"/>
        </w:rPr>
      </w:pPr>
    </w:p>
    <w:p w14:paraId="2AD1AD7B" w14:textId="65A95927" w:rsidR="000660A6" w:rsidRPr="000660A6" w:rsidRDefault="000660A6" w:rsidP="000660A6">
      <w:pPr>
        <w:rPr>
          <w:sz w:val="22"/>
          <w:szCs w:val="22"/>
        </w:rPr>
      </w:pPr>
      <w:r w:rsidRPr="000660A6">
        <w:rPr>
          <w:b/>
          <w:bCs/>
          <w:sz w:val="22"/>
          <w:szCs w:val="22"/>
        </w:rPr>
        <w:t>Q7.</w:t>
      </w:r>
      <w:r>
        <w:rPr>
          <w:sz w:val="22"/>
          <w:szCs w:val="22"/>
        </w:rPr>
        <w:tab/>
      </w:r>
      <w:r w:rsidRPr="000660A6">
        <w:rPr>
          <w:sz w:val="22"/>
          <w:szCs w:val="22"/>
        </w:rPr>
        <w:t>Can you clarify “IV-E Admin Ceiling” and “IV-E Maintenance Ceiling” verbiage?</w:t>
      </w:r>
    </w:p>
    <w:p w14:paraId="52B131D2" w14:textId="04E9723D" w:rsidR="003D72FC" w:rsidRPr="001D4ED7" w:rsidRDefault="003D72FC" w:rsidP="003D72FC">
      <w:pPr>
        <w:pStyle w:val="ListParagraph"/>
        <w:tabs>
          <w:tab w:val="left" w:pos="1080"/>
        </w:tabs>
        <w:ind w:hanging="720"/>
        <w:rPr>
          <w:sz w:val="22"/>
          <w:szCs w:val="22"/>
        </w:rPr>
      </w:pPr>
    </w:p>
    <w:p w14:paraId="5D83B03A" w14:textId="4B4659CD" w:rsidR="00480991" w:rsidRPr="00646DFF" w:rsidRDefault="00480991" w:rsidP="00646DFF">
      <w:pPr>
        <w:pStyle w:val="ListParagraph"/>
        <w:numPr>
          <w:ilvl w:val="0"/>
          <w:numId w:val="8"/>
        </w:numPr>
        <w:tabs>
          <w:tab w:val="left" w:pos="1080"/>
        </w:tabs>
        <w:ind w:left="720" w:firstLine="0"/>
        <w:rPr>
          <w:rFonts w:cs="Arial"/>
          <w:sz w:val="22"/>
          <w:szCs w:val="22"/>
        </w:rPr>
      </w:pPr>
      <w:r w:rsidRPr="00646DFF">
        <w:rPr>
          <w:rFonts w:cs="Arial"/>
          <w:sz w:val="22"/>
          <w:szCs w:val="22"/>
        </w:rPr>
        <w:t xml:space="preserve">ODJFS is responsible for the state's Title IV-E cost report process. The cost report establishes Title IV-E reimbursement ceilings for maintenance and administration costs and effectually serves as the upper limits of federal reimbursement to the custodial agencies for incurred placement costs on behalf of Title IV-E eligible children that have been placed in the custodial agency’s own residential setting, another public agency’s residential setting, or a private agency’s residential setting or foster home network.  </w:t>
      </w:r>
    </w:p>
    <w:p w14:paraId="200C96EF" w14:textId="77777777" w:rsidR="00480991" w:rsidRPr="00646DFF" w:rsidRDefault="00480991" w:rsidP="00480991">
      <w:pPr>
        <w:pStyle w:val="ListParagraph"/>
        <w:tabs>
          <w:tab w:val="left" w:pos="1080"/>
        </w:tabs>
        <w:ind w:left="1440"/>
        <w:rPr>
          <w:rFonts w:cs="Arial"/>
          <w:sz w:val="22"/>
          <w:szCs w:val="22"/>
        </w:rPr>
      </w:pPr>
    </w:p>
    <w:p w14:paraId="34D4F8BE" w14:textId="535938B5" w:rsidR="000660A6" w:rsidRPr="00646DFF" w:rsidRDefault="00480991" w:rsidP="00646DFF">
      <w:pPr>
        <w:tabs>
          <w:tab w:val="left" w:pos="1080"/>
        </w:tabs>
        <w:ind w:left="720"/>
        <w:rPr>
          <w:rFonts w:cs="Arial"/>
          <w:sz w:val="22"/>
          <w:szCs w:val="22"/>
        </w:rPr>
      </w:pPr>
      <w:r w:rsidRPr="00646DFF">
        <w:rPr>
          <w:rFonts w:cs="Arial"/>
          <w:sz w:val="22"/>
          <w:szCs w:val="22"/>
        </w:rPr>
        <w:t xml:space="preserve">This is a link to access the explanation of ODJFS IV-E cost reporting process:  </w:t>
      </w:r>
      <w:hyperlink r:id="rId15" w:history="1">
        <w:r w:rsidRPr="00646DFF">
          <w:rPr>
            <w:rFonts w:cs="Arial"/>
            <w:color w:val="0000FF"/>
            <w:sz w:val="22"/>
            <w:szCs w:val="22"/>
            <w:u w:val="single"/>
          </w:rPr>
          <w:t>Ohio-Title-IV-E-Cost-Report-</w:t>
        </w:r>
        <w:proofErr w:type="spellStart"/>
        <w:r w:rsidRPr="00646DFF">
          <w:rPr>
            <w:rFonts w:cs="Arial"/>
            <w:color w:val="0000FF"/>
            <w:sz w:val="22"/>
            <w:szCs w:val="22"/>
            <w:u w:val="single"/>
          </w:rPr>
          <w:t>Process.stm</w:t>
        </w:r>
        <w:proofErr w:type="spellEnd"/>
      </w:hyperlink>
    </w:p>
    <w:p w14:paraId="4EEEA2B2" w14:textId="33E45737" w:rsidR="00B05CB3" w:rsidRDefault="00B05CB3" w:rsidP="00B05CB3">
      <w:pPr>
        <w:pStyle w:val="ListParagraph"/>
        <w:tabs>
          <w:tab w:val="left" w:pos="1080"/>
        </w:tabs>
        <w:ind w:left="1440"/>
        <w:rPr>
          <w:rFonts w:cs="Arial"/>
          <w:color w:val="FF0000"/>
          <w:sz w:val="22"/>
          <w:szCs w:val="22"/>
        </w:rPr>
      </w:pPr>
    </w:p>
    <w:p w14:paraId="49ADAB8F" w14:textId="21C9B577" w:rsidR="00B05CB3" w:rsidRPr="00B05CB3" w:rsidRDefault="00B05CB3" w:rsidP="00B05CB3">
      <w:pPr>
        <w:ind w:left="720" w:hanging="720"/>
        <w:rPr>
          <w:rFonts w:ascii="Calibri" w:hAnsi="Calibri"/>
          <w:sz w:val="22"/>
          <w:szCs w:val="22"/>
        </w:rPr>
      </w:pPr>
      <w:r w:rsidRPr="00B05CB3">
        <w:rPr>
          <w:rFonts w:cs="Arial"/>
          <w:b/>
          <w:bCs/>
          <w:sz w:val="22"/>
          <w:szCs w:val="22"/>
        </w:rPr>
        <w:t>Q8</w:t>
      </w:r>
      <w:r w:rsidRPr="00B05CB3">
        <w:rPr>
          <w:rFonts w:cs="Arial"/>
          <w:color w:val="FF0000"/>
          <w:sz w:val="22"/>
          <w:szCs w:val="22"/>
        </w:rPr>
        <w:t xml:space="preserve">. </w:t>
      </w:r>
      <w:r>
        <w:rPr>
          <w:rFonts w:cs="Arial"/>
          <w:color w:val="FF0000"/>
          <w:sz w:val="22"/>
          <w:szCs w:val="22"/>
        </w:rPr>
        <w:tab/>
      </w:r>
      <w:r w:rsidRPr="00B05CB3">
        <w:rPr>
          <w:sz w:val="22"/>
          <w:szCs w:val="22"/>
        </w:rPr>
        <w:t>In section 2.8 it mentions an "annual report". Is this referring to the findings from ODJFS when an agency is audited for the license renewal?</w:t>
      </w:r>
    </w:p>
    <w:p w14:paraId="59F29692" w14:textId="01337DBA" w:rsidR="00B05CB3" w:rsidRDefault="00B05CB3" w:rsidP="00B05CB3">
      <w:pPr>
        <w:pStyle w:val="ListParagraph"/>
        <w:tabs>
          <w:tab w:val="left" w:pos="1080"/>
        </w:tabs>
        <w:ind w:left="1440"/>
        <w:rPr>
          <w:rFonts w:ascii="Calibri" w:hAnsi="Calibri"/>
          <w:sz w:val="22"/>
          <w:szCs w:val="22"/>
        </w:rPr>
      </w:pPr>
    </w:p>
    <w:p w14:paraId="3FEDABD2" w14:textId="007A7F1F" w:rsidR="00E412EB" w:rsidRPr="000F4D8A" w:rsidRDefault="00E412EB" w:rsidP="00E412EB">
      <w:pPr>
        <w:tabs>
          <w:tab w:val="left" w:pos="1080"/>
        </w:tabs>
        <w:ind w:left="720"/>
        <w:rPr>
          <w:rFonts w:ascii="Calibri" w:hAnsi="Calibri"/>
          <w:sz w:val="22"/>
          <w:szCs w:val="22"/>
        </w:rPr>
      </w:pPr>
      <w:r w:rsidRPr="000F4D8A">
        <w:rPr>
          <w:rFonts w:cs="Arial"/>
          <w:b/>
          <w:bCs/>
          <w:sz w:val="22"/>
          <w:szCs w:val="22"/>
        </w:rPr>
        <w:t>A.</w:t>
      </w:r>
      <w:r w:rsidRPr="000F4D8A">
        <w:rPr>
          <w:rFonts w:cs="Arial"/>
          <w:sz w:val="22"/>
          <w:szCs w:val="22"/>
        </w:rPr>
        <w:t xml:space="preserve"> </w:t>
      </w:r>
      <w:r>
        <w:rPr>
          <w:rFonts w:cs="Arial"/>
          <w:color w:val="FF0000"/>
          <w:sz w:val="22"/>
          <w:szCs w:val="22"/>
        </w:rPr>
        <w:tab/>
      </w:r>
      <w:r w:rsidR="00CB3B54">
        <w:rPr>
          <w:rFonts w:cs="Arial"/>
          <w:color w:val="111111"/>
          <w:sz w:val="22"/>
          <w:szCs w:val="22"/>
          <w:shd w:val="clear" w:color="auto" w:fill="FFFFFF"/>
        </w:rPr>
        <w:t xml:space="preserve">The </w:t>
      </w:r>
      <w:r w:rsidRPr="00E412EB">
        <w:rPr>
          <w:rFonts w:cs="Arial"/>
          <w:color w:val="111111"/>
          <w:sz w:val="22"/>
          <w:szCs w:val="22"/>
          <w:shd w:val="clear" w:color="auto" w:fill="FFFFFF"/>
        </w:rPr>
        <w:t xml:space="preserve">annual report </w:t>
      </w:r>
      <w:r w:rsidR="00CB3B54">
        <w:rPr>
          <w:rFonts w:cs="Arial"/>
          <w:color w:val="111111"/>
          <w:sz w:val="22"/>
          <w:szCs w:val="22"/>
          <w:shd w:val="clear" w:color="auto" w:fill="FFFFFF"/>
        </w:rPr>
        <w:t>referred to in this RFP is</w:t>
      </w:r>
      <w:r w:rsidRPr="00E412EB">
        <w:rPr>
          <w:rFonts w:cs="Arial"/>
          <w:color w:val="111111"/>
          <w:sz w:val="22"/>
          <w:szCs w:val="22"/>
          <w:shd w:val="clear" w:color="auto" w:fill="FFFFFF"/>
        </w:rPr>
        <w:t xml:space="preserve"> </w:t>
      </w:r>
      <w:r>
        <w:rPr>
          <w:rFonts w:cs="Arial"/>
          <w:color w:val="111111"/>
          <w:sz w:val="22"/>
          <w:szCs w:val="22"/>
          <w:shd w:val="clear" w:color="auto" w:fill="FFFFFF"/>
        </w:rPr>
        <w:t xml:space="preserve">a </w:t>
      </w:r>
      <w:r w:rsidRPr="00E412EB">
        <w:rPr>
          <w:rFonts w:cs="Arial"/>
          <w:color w:val="111111"/>
          <w:sz w:val="22"/>
          <w:szCs w:val="22"/>
          <w:shd w:val="clear" w:color="auto" w:fill="FFFFFF"/>
        </w:rPr>
        <w:t>company's yearly report</w:t>
      </w:r>
      <w:r w:rsidR="00144E97">
        <w:rPr>
          <w:rFonts w:cs="Arial"/>
          <w:color w:val="111111"/>
          <w:sz w:val="22"/>
          <w:szCs w:val="22"/>
          <w:shd w:val="clear" w:color="auto" w:fill="FFFFFF"/>
        </w:rPr>
        <w:t xml:space="preserve"> and publication</w:t>
      </w:r>
      <w:r w:rsidRPr="00E412EB">
        <w:rPr>
          <w:rFonts w:cs="Arial"/>
          <w:color w:val="111111"/>
          <w:sz w:val="22"/>
          <w:szCs w:val="22"/>
          <w:shd w:val="clear" w:color="auto" w:fill="FFFFFF"/>
        </w:rPr>
        <w:t xml:space="preserve"> to</w:t>
      </w:r>
      <w:r w:rsidR="005158A1">
        <w:rPr>
          <w:rFonts w:cs="Arial"/>
          <w:color w:val="111111"/>
          <w:sz w:val="22"/>
          <w:szCs w:val="22"/>
          <w:shd w:val="clear" w:color="auto" w:fill="FFFFFF"/>
        </w:rPr>
        <w:t xml:space="preserve"> the community, </w:t>
      </w:r>
      <w:r w:rsidR="00D079F3">
        <w:rPr>
          <w:rFonts w:cs="Arial"/>
          <w:color w:val="111111"/>
          <w:sz w:val="22"/>
          <w:szCs w:val="22"/>
          <w:shd w:val="clear" w:color="auto" w:fill="FFFFFF"/>
        </w:rPr>
        <w:t xml:space="preserve">their </w:t>
      </w:r>
      <w:r w:rsidR="005158A1">
        <w:rPr>
          <w:rFonts w:cs="Arial"/>
          <w:color w:val="111111"/>
          <w:sz w:val="22"/>
          <w:szCs w:val="22"/>
          <w:shd w:val="clear" w:color="auto" w:fill="FFFFFF"/>
        </w:rPr>
        <w:t>board and other</w:t>
      </w:r>
      <w:r w:rsidRPr="00E412EB">
        <w:rPr>
          <w:rFonts w:cs="Arial"/>
          <w:color w:val="111111"/>
          <w:sz w:val="22"/>
          <w:szCs w:val="22"/>
          <w:shd w:val="clear" w:color="auto" w:fill="FFFFFF"/>
        </w:rPr>
        <w:t xml:space="preserve"> </w:t>
      </w:r>
      <w:r w:rsidR="00D079F3">
        <w:rPr>
          <w:rFonts w:cs="Arial"/>
          <w:color w:val="111111"/>
          <w:sz w:val="22"/>
          <w:szCs w:val="22"/>
          <w:shd w:val="clear" w:color="auto" w:fill="FFFFFF"/>
        </w:rPr>
        <w:t>community business partners</w:t>
      </w:r>
      <w:r w:rsidRPr="00E412EB">
        <w:rPr>
          <w:rFonts w:cs="Arial"/>
          <w:color w:val="111111"/>
          <w:sz w:val="22"/>
          <w:szCs w:val="22"/>
          <w:shd w:val="clear" w:color="auto" w:fill="FFFFFF"/>
        </w:rPr>
        <w:t>, documenting its</w:t>
      </w:r>
      <w:r w:rsidR="005A64E3">
        <w:rPr>
          <w:rFonts w:cs="Arial"/>
          <w:color w:val="111111"/>
          <w:sz w:val="22"/>
          <w:szCs w:val="22"/>
          <w:shd w:val="clear" w:color="auto" w:fill="FFFFFF"/>
        </w:rPr>
        <w:t xml:space="preserve"> </w:t>
      </w:r>
      <w:r w:rsidR="00F7149C">
        <w:rPr>
          <w:rFonts w:cs="Arial"/>
          <w:color w:val="111111"/>
          <w:sz w:val="22"/>
          <w:szCs w:val="22"/>
          <w:shd w:val="clear" w:color="auto" w:fill="FFFFFF"/>
        </w:rPr>
        <w:t>work meeting their organization’s vision and mission,</w:t>
      </w:r>
      <w:r w:rsidR="005A64E3">
        <w:rPr>
          <w:rFonts w:cs="Arial"/>
          <w:color w:val="111111"/>
          <w:sz w:val="22"/>
          <w:szCs w:val="22"/>
          <w:shd w:val="clear" w:color="auto" w:fill="FFFFFF"/>
        </w:rPr>
        <w:t xml:space="preserve"> fundraising</w:t>
      </w:r>
      <w:r w:rsidRPr="00E412EB">
        <w:rPr>
          <w:rFonts w:cs="Arial"/>
          <w:color w:val="111111"/>
          <w:sz w:val="22"/>
          <w:szCs w:val="22"/>
          <w:shd w:val="clear" w:color="auto" w:fill="FFFFFF"/>
        </w:rPr>
        <w:t xml:space="preserve"> activities</w:t>
      </w:r>
      <w:r w:rsidR="005A64E3">
        <w:rPr>
          <w:rFonts w:cs="Arial"/>
          <w:color w:val="111111"/>
          <w:sz w:val="22"/>
          <w:szCs w:val="22"/>
          <w:shd w:val="clear" w:color="auto" w:fill="FFFFFF"/>
        </w:rPr>
        <w:t>, program highlights</w:t>
      </w:r>
      <w:r w:rsidR="001E57B2">
        <w:rPr>
          <w:rFonts w:cs="Arial"/>
          <w:color w:val="111111"/>
          <w:sz w:val="22"/>
          <w:szCs w:val="22"/>
          <w:shd w:val="clear" w:color="auto" w:fill="FFFFFF"/>
        </w:rPr>
        <w:t xml:space="preserve">, </w:t>
      </w:r>
      <w:r w:rsidRPr="00E412EB">
        <w:rPr>
          <w:rFonts w:cs="Arial"/>
          <w:color w:val="111111"/>
          <w:sz w:val="22"/>
          <w:szCs w:val="22"/>
          <w:shd w:val="clear" w:color="auto" w:fill="FFFFFF"/>
        </w:rPr>
        <w:t>finances</w:t>
      </w:r>
      <w:r w:rsidR="001E57B2">
        <w:rPr>
          <w:rFonts w:cs="Arial"/>
          <w:color w:val="111111"/>
          <w:sz w:val="22"/>
          <w:szCs w:val="22"/>
          <w:shd w:val="clear" w:color="auto" w:fill="FFFFFF"/>
        </w:rPr>
        <w:t xml:space="preserve"> and other similar information for</w:t>
      </w:r>
      <w:r w:rsidRPr="00E412EB">
        <w:rPr>
          <w:rFonts w:cs="Arial"/>
          <w:color w:val="111111"/>
          <w:sz w:val="22"/>
          <w:szCs w:val="22"/>
          <w:shd w:val="clear" w:color="auto" w:fill="FFFFFF"/>
        </w:rPr>
        <w:t xml:space="preserve"> the previous financial year</w:t>
      </w:r>
      <w:r w:rsidR="00F21401">
        <w:rPr>
          <w:rFonts w:cs="Arial"/>
          <w:color w:val="111111"/>
          <w:sz w:val="22"/>
          <w:szCs w:val="22"/>
          <w:shd w:val="clear" w:color="auto" w:fill="FFFFFF"/>
        </w:rPr>
        <w:t>.</w:t>
      </w:r>
    </w:p>
    <w:p w14:paraId="622B6EEE" w14:textId="77777777" w:rsidR="00E412EB" w:rsidRPr="00F21401" w:rsidRDefault="00E412EB" w:rsidP="00F21401">
      <w:pPr>
        <w:tabs>
          <w:tab w:val="left" w:pos="1080"/>
        </w:tabs>
        <w:rPr>
          <w:rFonts w:ascii="Calibri" w:hAnsi="Calibri"/>
          <w:sz w:val="22"/>
          <w:szCs w:val="22"/>
        </w:rPr>
      </w:pPr>
    </w:p>
    <w:p w14:paraId="186E0895" w14:textId="6F5FD1C6" w:rsidR="000F4D8A" w:rsidRPr="000F4D8A" w:rsidRDefault="000F4D8A" w:rsidP="000F4D8A">
      <w:pPr>
        <w:pStyle w:val="ListParagraph"/>
        <w:tabs>
          <w:tab w:val="left" w:pos="720"/>
        </w:tabs>
        <w:ind w:hanging="720"/>
        <w:rPr>
          <w:rFonts w:cs="Arial"/>
          <w:sz w:val="22"/>
          <w:szCs w:val="22"/>
        </w:rPr>
      </w:pPr>
      <w:r w:rsidRPr="00E412EB">
        <w:rPr>
          <w:rFonts w:cs="Arial"/>
          <w:b/>
          <w:bCs/>
          <w:sz w:val="22"/>
          <w:szCs w:val="22"/>
        </w:rPr>
        <w:t>Q9.</w:t>
      </w:r>
      <w:r w:rsidRPr="000F4D8A">
        <w:rPr>
          <w:rFonts w:cs="Arial"/>
          <w:sz w:val="22"/>
          <w:szCs w:val="22"/>
        </w:rPr>
        <w:t xml:space="preserve"> </w:t>
      </w:r>
      <w:r>
        <w:rPr>
          <w:rFonts w:cs="Arial"/>
          <w:sz w:val="22"/>
          <w:szCs w:val="22"/>
        </w:rPr>
        <w:tab/>
      </w:r>
      <w:r w:rsidRPr="000F4D8A">
        <w:rPr>
          <w:sz w:val="22"/>
          <w:szCs w:val="22"/>
        </w:rPr>
        <w:t xml:space="preserve">How soon after we submit our proposal via email will we receive your response that you got it successfully? And if we don’t get a response in that time frame or we encounter another submission problem, </w:t>
      </w:r>
      <w:proofErr w:type="gramStart"/>
      <w:r w:rsidRPr="000F4D8A">
        <w:rPr>
          <w:sz w:val="22"/>
          <w:szCs w:val="22"/>
        </w:rPr>
        <w:t>as long as</w:t>
      </w:r>
      <w:proofErr w:type="gramEnd"/>
      <w:r w:rsidRPr="000F4D8A">
        <w:rPr>
          <w:sz w:val="22"/>
          <w:szCs w:val="22"/>
        </w:rPr>
        <w:t xml:space="preserve"> we are attempting the email prior to the deadline, are we allowed to email you at that point?</w:t>
      </w:r>
    </w:p>
    <w:p w14:paraId="3EF7F18D" w14:textId="77777777" w:rsidR="00657077" w:rsidRPr="000977A9" w:rsidRDefault="00657077" w:rsidP="00657077">
      <w:pPr>
        <w:pStyle w:val="ListParagraph"/>
        <w:tabs>
          <w:tab w:val="left" w:pos="1080"/>
        </w:tabs>
        <w:rPr>
          <w:rFonts w:ascii="Calibri" w:hAnsi="Calibri"/>
          <w:sz w:val="22"/>
          <w:szCs w:val="22"/>
        </w:rPr>
      </w:pPr>
    </w:p>
    <w:p w14:paraId="44F46D92" w14:textId="77777777" w:rsidR="0009408C" w:rsidRPr="0009408C" w:rsidRDefault="0007119C" w:rsidP="004772E9">
      <w:pPr>
        <w:pStyle w:val="ListParagraph"/>
        <w:numPr>
          <w:ilvl w:val="0"/>
          <w:numId w:val="9"/>
        </w:numPr>
        <w:tabs>
          <w:tab w:val="left" w:pos="720"/>
          <w:tab w:val="left" w:pos="1080"/>
        </w:tabs>
        <w:ind w:left="720" w:right="-90" w:firstLine="0"/>
        <w:rPr>
          <w:color w:val="FF0000"/>
          <w:sz w:val="22"/>
          <w:szCs w:val="22"/>
        </w:rPr>
      </w:pPr>
      <w:r w:rsidRPr="005E0D28">
        <w:rPr>
          <w:rFonts w:cs="Arial"/>
          <w:color w:val="111111"/>
          <w:sz w:val="22"/>
          <w:szCs w:val="22"/>
          <w:shd w:val="clear" w:color="auto" w:fill="FFFFFF"/>
        </w:rPr>
        <w:t>You will receive acknowledgement of receipt of your proposal and unlocked Excel budget</w:t>
      </w:r>
      <w:r w:rsidR="005E0D28" w:rsidRPr="005E0D28">
        <w:rPr>
          <w:rFonts w:cs="Arial"/>
          <w:color w:val="111111"/>
          <w:sz w:val="22"/>
          <w:szCs w:val="22"/>
          <w:shd w:val="clear" w:color="auto" w:fill="FFFFFF"/>
        </w:rPr>
        <w:t xml:space="preserve"> from the RFP Contact Person</w:t>
      </w:r>
      <w:r w:rsidRPr="005E0D28">
        <w:rPr>
          <w:rFonts w:cs="Arial"/>
          <w:color w:val="111111"/>
          <w:sz w:val="22"/>
          <w:szCs w:val="22"/>
          <w:shd w:val="clear" w:color="auto" w:fill="FFFFFF"/>
        </w:rPr>
        <w:t xml:space="preserve">. The deadline for proposals is on or before March 19, 2021 no later than 11:00 a.m. If you do not receive an acknowledgement that your proposal has been received by noon on that day, </w:t>
      </w:r>
    </w:p>
    <w:p w14:paraId="7C3983FD" w14:textId="237B1C2B" w:rsidR="00026FEA" w:rsidRPr="00026FEA" w:rsidRDefault="0007119C" w:rsidP="0009408C">
      <w:pPr>
        <w:pStyle w:val="ListParagraph"/>
        <w:tabs>
          <w:tab w:val="left" w:pos="720"/>
          <w:tab w:val="left" w:pos="1080"/>
        </w:tabs>
        <w:ind w:right="-90"/>
        <w:rPr>
          <w:color w:val="FF0000"/>
          <w:sz w:val="22"/>
          <w:szCs w:val="22"/>
        </w:rPr>
      </w:pPr>
      <w:r w:rsidRPr="005E0D28">
        <w:rPr>
          <w:rFonts w:cs="Arial"/>
          <w:color w:val="111111"/>
          <w:sz w:val="22"/>
          <w:szCs w:val="22"/>
          <w:shd w:val="clear" w:color="auto" w:fill="FFFFFF"/>
        </w:rPr>
        <w:t>then e-mail the RFP contact person</w:t>
      </w:r>
      <w:r w:rsidR="005E0D28" w:rsidRPr="005E0D28">
        <w:rPr>
          <w:rFonts w:cs="Arial"/>
          <w:color w:val="111111"/>
          <w:sz w:val="22"/>
          <w:szCs w:val="22"/>
          <w:shd w:val="clear" w:color="auto" w:fill="FFFFFF"/>
        </w:rPr>
        <w:t xml:space="preserve"> </w:t>
      </w:r>
      <w:r w:rsidR="005E0D28">
        <w:rPr>
          <w:rFonts w:cs="Arial"/>
          <w:color w:val="111111"/>
          <w:sz w:val="22"/>
          <w:szCs w:val="22"/>
          <w:shd w:val="clear" w:color="auto" w:fill="FFFFFF"/>
        </w:rPr>
        <w:t xml:space="preserve">at </w:t>
      </w:r>
    </w:p>
    <w:p w14:paraId="646D99F5" w14:textId="186634A8" w:rsidR="0078556E" w:rsidRPr="005E0D28" w:rsidRDefault="00A02BFE" w:rsidP="00026FEA">
      <w:pPr>
        <w:pStyle w:val="ListParagraph"/>
        <w:tabs>
          <w:tab w:val="left" w:pos="720"/>
          <w:tab w:val="left" w:pos="1080"/>
        </w:tabs>
        <w:ind w:right="-90"/>
        <w:rPr>
          <w:color w:val="FF0000"/>
          <w:sz w:val="22"/>
          <w:szCs w:val="22"/>
        </w:rPr>
      </w:pPr>
      <w:hyperlink r:id="rId16" w:history="1">
        <w:r w:rsidR="00026FEA">
          <w:rPr>
            <w:rStyle w:val="Hyperlink"/>
            <w:rFonts w:cs="Arial"/>
            <w:sz w:val="22"/>
            <w:szCs w:val="22"/>
            <w:shd w:val="clear" w:color="auto" w:fill="FFFFFF"/>
          </w:rPr>
          <w:t>Hamilton_ContractServicesProcurement@jfs.ohio.gov</w:t>
        </w:r>
      </w:hyperlink>
    </w:p>
    <w:p w14:paraId="198FC8D7" w14:textId="77777777" w:rsidR="005E0D28" w:rsidRDefault="005E0D28" w:rsidP="005E0D28">
      <w:pPr>
        <w:pStyle w:val="ListParagraph"/>
        <w:tabs>
          <w:tab w:val="left" w:pos="1080"/>
        </w:tabs>
        <w:ind w:left="1080"/>
        <w:rPr>
          <w:rFonts w:cs="Arial"/>
          <w:sz w:val="22"/>
          <w:szCs w:val="22"/>
        </w:rPr>
      </w:pPr>
    </w:p>
    <w:p w14:paraId="4FB67C34" w14:textId="1B5B531A" w:rsidR="005E0D28" w:rsidRPr="0007119C" w:rsidRDefault="005E0D28" w:rsidP="004772E9">
      <w:pPr>
        <w:pStyle w:val="ListParagraph"/>
        <w:tabs>
          <w:tab w:val="left" w:pos="720"/>
          <w:tab w:val="left" w:pos="1440"/>
        </w:tabs>
        <w:rPr>
          <w:rFonts w:cs="Arial"/>
          <w:sz w:val="22"/>
          <w:szCs w:val="22"/>
        </w:rPr>
      </w:pPr>
      <w:r>
        <w:rPr>
          <w:rFonts w:cs="Arial"/>
          <w:sz w:val="22"/>
          <w:szCs w:val="22"/>
        </w:rPr>
        <w:t>It is advised proposals are submitted well before the deadline to avoid any technical issues.</w:t>
      </w:r>
    </w:p>
    <w:p w14:paraId="02C1B496" w14:textId="77777777" w:rsidR="005E0D28" w:rsidRPr="005E0D28" w:rsidRDefault="005E0D28" w:rsidP="005E0D28">
      <w:pPr>
        <w:pStyle w:val="ListParagraph"/>
        <w:tabs>
          <w:tab w:val="left" w:pos="1080"/>
        </w:tabs>
        <w:ind w:left="1080" w:right="-90"/>
        <w:rPr>
          <w:color w:val="FF0000"/>
          <w:sz w:val="22"/>
          <w:szCs w:val="22"/>
        </w:rPr>
      </w:pPr>
    </w:p>
    <w:p w14:paraId="6A924948" w14:textId="0423874D" w:rsidR="00AC3982" w:rsidRDefault="00AC3982" w:rsidP="00AC3982">
      <w:pPr>
        <w:ind w:left="720" w:hanging="720"/>
        <w:rPr>
          <w:sz w:val="22"/>
          <w:szCs w:val="22"/>
        </w:rPr>
      </w:pPr>
      <w:r w:rsidRPr="00AC3982">
        <w:rPr>
          <w:b/>
          <w:bCs/>
          <w:sz w:val="22"/>
          <w:szCs w:val="22"/>
        </w:rPr>
        <w:t>Q10.</w:t>
      </w:r>
      <w:r>
        <w:rPr>
          <w:sz w:val="22"/>
          <w:szCs w:val="22"/>
        </w:rPr>
        <w:tab/>
      </w:r>
      <w:r w:rsidRPr="00AC3982">
        <w:rPr>
          <w:sz w:val="22"/>
          <w:szCs w:val="22"/>
        </w:rPr>
        <w:t>Can you explain 2.4 Customer references page 31. Who should the reference come from</w:t>
      </w:r>
      <w:r>
        <w:rPr>
          <w:sz w:val="22"/>
          <w:szCs w:val="22"/>
        </w:rPr>
        <w:t>:</w:t>
      </w:r>
      <w:r w:rsidRPr="00AC3982">
        <w:rPr>
          <w:sz w:val="22"/>
          <w:szCs w:val="22"/>
        </w:rPr>
        <w:t xml:space="preserve"> residents</w:t>
      </w:r>
      <w:r w:rsidR="00DC607C">
        <w:rPr>
          <w:sz w:val="22"/>
          <w:szCs w:val="22"/>
        </w:rPr>
        <w:t>,</w:t>
      </w:r>
      <w:r w:rsidRPr="00AC3982">
        <w:rPr>
          <w:sz w:val="22"/>
          <w:szCs w:val="22"/>
        </w:rPr>
        <w:t xml:space="preserve"> parents/caregivers, or companies?</w:t>
      </w:r>
    </w:p>
    <w:p w14:paraId="6BB27A33" w14:textId="3906F562" w:rsidR="00DC607C" w:rsidRDefault="00DC607C" w:rsidP="00AC3982">
      <w:pPr>
        <w:ind w:left="720" w:hanging="720"/>
        <w:rPr>
          <w:rFonts w:ascii="Calibri" w:hAnsi="Calibri"/>
          <w:sz w:val="22"/>
          <w:szCs w:val="22"/>
        </w:rPr>
      </w:pPr>
    </w:p>
    <w:p w14:paraId="5B007802" w14:textId="3A974706" w:rsidR="00DC607C" w:rsidRPr="00DC607C" w:rsidRDefault="00DC607C" w:rsidP="00083718">
      <w:pPr>
        <w:pStyle w:val="ListParagraph"/>
        <w:numPr>
          <w:ilvl w:val="0"/>
          <w:numId w:val="10"/>
        </w:numPr>
        <w:tabs>
          <w:tab w:val="left" w:pos="1080"/>
        </w:tabs>
        <w:ind w:left="720" w:firstLine="0"/>
        <w:rPr>
          <w:rFonts w:cs="Arial"/>
          <w:sz w:val="22"/>
          <w:szCs w:val="22"/>
        </w:rPr>
      </w:pPr>
      <w:r>
        <w:rPr>
          <w:rFonts w:cs="Arial"/>
          <w:sz w:val="22"/>
          <w:szCs w:val="22"/>
        </w:rPr>
        <w:t>Reference letters should come from other organizations your agency has provided services to that are similar in nature to residential treatment services.</w:t>
      </w:r>
      <w:r w:rsidR="004E3D54">
        <w:rPr>
          <w:rFonts w:cs="Arial"/>
          <w:sz w:val="22"/>
          <w:szCs w:val="22"/>
        </w:rPr>
        <w:t xml:space="preserve"> If your agency is unable to provide 3 letters of reference, please provide an explanation why (i.e. new agency). </w:t>
      </w:r>
    </w:p>
    <w:p w14:paraId="28BBA98C" w14:textId="234D582E" w:rsidR="00657077" w:rsidRDefault="00657077" w:rsidP="0078556E">
      <w:pPr>
        <w:pStyle w:val="ListParagraph"/>
        <w:tabs>
          <w:tab w:val="left" w:pos="1080"/>
        </w:tabs>
        <w:rPr>
          <w:color w:val="FF0000"/>
          <w:sz w:val="22"/>
          <w:szCs w:val="22"/>
        </w:rPr>
      </w:pPr>
    </w:p>
    <w:p w14:paraId="693CA1DE" w14:textId="561AB496" w:rsidR="006161E4" w:rsidRDefault="006161E4" w:rsidP="0078556E">
      <w:pPr>
        <w:pStyle w:val="ListParagraph"/>
        <w:tabs>
          <w:tab w:val="left" w:pos="1080"/>
        </w:tabs>
        <w:rPr>
          <w:color w:val="FF0000"/>
          <w:sz w:val="22"/>
          <w:szCs w:val="22"/>
        </w:rPr>
      </w:pPr>
    </w:p>
    <w:p w14:paraId="598ED0C2" w14:textId="77777777" w:rsidR="006161E4" w:rsidRDefault="006161E4" w:rsidP="0078556E">
      <w:pPr>
        <w:pStyle w:val="ListParagraph"/>
        <w:tabs>
          <w:tab w:val="left" w:pos="1080"/>
        </w:tabs>
        <w:rPr>
          <w:color w:val="FF0000"/>
          <w:sz w:val="22"/>
          <w:szCs w:val="22"/>
        </w:rPr>
      </w:pPr>
    </w:p>
    <w:p w14:paraId="28525F80" w14:textId="77E3D8E3" w:rsidR="004E3D54" w:rsidRDefault="004E3D54" w:rsidP="009A3106">
      <w:pPr>
        <w:ind w:left="720" w:hanging="720"/>
        <w:rPr>
          <w:sz w:val="22"/>
          <w:szCs w:val="22"/>
        </w:rPr>
      </w:pPr>
      <w:r w:rsidRPr="004E3D54">
        <w:rPr>
          <w:b/>
          <w:bCs/>
        </w:rPr>
        <w:lastRenderedPageBreak/>
        <w:t>Q11.</w:t>
      </w:r>
      <w:r>
        <w:tab/>
      </w:r>
      <w:r w:rsidRPr="004E3D54">
        <w:rPr>
          <w:sz w:val="22"/>
          <w:szCs w:val="22"/>
        </w:rPr>
        <w:t>2.6 Financial Documentation of page 32 our organization is almost 3 months old can I submit a bank statement?</w:t>
      </w:r>
    </w:p>
    <w:p w14:paraId="7B0462F7" w14:textId="72558A26" w:rsidR="009A3106" w:rsidRDefault="009A3106" w:rsidP="009A3106">
      <w:pPr>
        <w:ind w:left="720" w:hanging="720"/>
        <w:rPr>
          <w:rFonts w:ascii="Calibri" w:hAnsi="Calibri"/>
          <w:sz w:val="22"/>
          <w:szCs w:val="22"/>
        </w:rPr>
      </w:pPr>
    </w:p>
    <w:p w14:paraId="56A1CDB6" w14:textId="0FDD8833" w:rsidR="009A3106" w:rsidRPr="001E0929" w:rsidRDefault="00690692" w:rsidP="00083718">
      <w:pPr>
        <w:pStyle w:val="ListParagraph"/>
        <w:numPr>
          <w:ilvl w:val="0"/>
          <w:numId w:val="11"/>
        </w:numPr>
        <w:tabs>
          <w:tab w:val="left" w:pos="1080"/>
        </w:tabs>
        <w:ind w:left="720" w:firstLine="0"/>
        <w:rPr>
          <w:rFonts w:cs="Arial"/>
          <w:sz w:val="22"/>
          <w:szCs w:val="22"/>
        </w:rPr>
      </w:pPr>
      <w:r w:rsidRPr="001E0929">
        <w:rPr>
          <w:rFonts w:cs="Arial"/>
          <w:sz w:val="22"/>
          <w:szCs w:val="22"/>
        </w:rPr>
        <w:t>Section 2.6 – Financial Documentation – does not need to be submitted with your proposal. This documentation needs to be submitted if your proposal is accepted and prior to final approval by the Board of County Commissioners.</w:t>
      </w:r>
    </w:p>
    <w:p w14:paraId="7FA97EAB" w14:textId="47DEF406" w:rsidR="004E3D54" w:rsidRDefault="004E3D54" w:rsidP="0078556E">
      <w:pPr>
        <w:pStyle w:val="ListParagraph"/>
        <w:tabs>
          <w:tab w:val="left" w:pos="1080"/>
        </w:tabs>
        <w:rPr>
          <w:color w:val="FF0000"/>
          <w:sz w:val="22"/>
          <w:szCs w:val="22"/>
        </w:rPr>
      </w:pPr>
    </w:p>
    <w:p w14:paraId="5AE88B5C" w14:textId="3E35C080" w:rsidR="00A309F6" w:rsidRDefault="00A309F6" w:rsidP="00A309F6">
      <w:pPr>
        <w:rPr>
          <w:sz w:val="22"/>
          <w:szCs w:val="22"/>
        </w:rPr>
      </w:pPr>
      <w:r w:rsidRPr="00A309F6">
        <w:rPr>
          <w:b/>
          <w:bCs/>
          <w:sz w:val="22"/>
          <w:szCs w:val="22"/>
        </w:rPr>
        <w:t>Q12.</w:t>
      </w:r>
      <w:r w:rsidRPr="00A309F6">
        <w:rPr>
          <w:sz w:val="22"/>
          <w:szCs w:val="22"/>
        </w:rPr>
        <w:tab/>
      </w:r>
      <w:r>
        <w:rPr>
          <w:sz w:val="22"/>
          <w:szCs w:val="22"/>
        </w:rPr>
        <w:t>2.</w:t>
      </w:r>
      <w:r w:rsidRPr="00A309F6">
        <w:rPr>
          <w:sz w:val="22"/>
          <w:szCs w:val="22"/>
        </w:rPr>
        <w:t>8 page 35 is this the daily notes the Youth Monitors already do?</w:t>
      </w:r>
    </w:p>
    <w:p w14:paraId="2F26B10A" w14:textId="7A628B7F" w:rsidR="001E3BB5" w:rsidRDefault="001E3BB5" w:rsidP="00A309F6">
      <w:pPr>
        <w:rPr>
          <w:sz w:val="22"/>
          <w:szCs w:val="22"/>
        </w:rPr>
      </w:pPr>
    </w:p>
    <w:p w14:paraId="4F446E22" w14:textId="701BB694" w:rsidR="00A309F6" w:rsidRPr="006161E4" w:rsidRDefault="00796213" w:rsidP="006161E4">
      <w:pPr>
        <w:pStyle w:val="ListParagraph"/>
        <w:numPr>
          <w:ilvl w:val="0"/>
          <w:numId w:val="44"/>
        </w:numPr>
        <w:tabs>
          <w:tab w:val="left" w:pos="720"/>
          <w:tab w:val="left" w:pos="1080"/>
        </w:tabs>
        <w:ind w:left="720" w:firstLine="0"/>
        <w:rPr>
          <w:sz w:val="22"/>
          <w:szCs w:val="22"/>
        </w:rPr>
      </w:pPr>
      <w:r w:rsidRPr="006161E4">
        <w:rPr>
          <w:sz w:val="22"/>
          <w:szCs w:val="22"/>
        </w:rPr>
        <w:t>You can keep your daily notes</w:t>
      </w:r>
      <w:r w:rsidR="00B946F5" w:rsidRPr="006161E4">
        <w:rPr>
          <w:sz w:val="22"/>
          <w:szCs w:val="22"/>
        </w:rPr>
        <w:t xml:space="preserve"> for </w:t>
      </w:r>
      <w:r w:rsidRPr="006161E4">
        <w:rPr>
          <w:sz w:val="22"/>
          <w:szCs w:val="22"/>
        </w:rPr>
        <w:t>yourselves</w:t>
      </w:r>
      <w:r w:rsidR="00B946F5" w:rsidRPr="006161E4">
        <w:rPr>
          <w:sz w:val="22"/>
          <w:szCs w:val="22"/>
        </w:rPr>
        <w:t xml:space="preserve"> and</w:t>
      </w:r>
      <w:r w:rsidRPr="006161E4">
        <w:rPr>
          <w:sz w:val="22"/>
          <w:szCs w:val="22"/>
        </w:rPr>
        <w:t xml:space="preserve"> </w:t>
      </w:r>
      <w:r w:rsidR="00B946F5" w:rsidRPr="006161E4">
        <w:rPr>
          <w:sz w:val="22"/>
          <w:szCs w:val="22"/>
        </w:rPr>
        <w:t>just turn in monthly progress notes</w:t>
      </w:r>
      <w:r w:rsidR="006161E4">
        <w:rPr>
          <w:sz w:val="22"/>
          <w:szCs w:val="22"/>
        </w:rPr>
        <w:t>.</w:t>
      </w:r>
    </w:p>
    <w:p w14:paraId="118A73D5" w14:textId="77777777" w:rsidR="00796213" w:rsidRDefault="00796213" w:rsidP="0078556E">
      <w:pPr>
        <w:pStyle w:val="ListParagraph"/>
        <w:tabs>
          <w:tab w:val="left" w:pos="1080"/>
        </w:tabs>
        <w:rPr>
          <w:color w:val="FF0000"/>
          <w:sz w:val="22"/>
          <w:szCs w:val="22"/>
        </w:rPr>
      </w:pPr>
    </w:p>
    <w:p w14:paraId="05C2BBEA" w14:textId="05066C50" w:rsidR="00CB24CC" w:rsidRDefault="00CB24CC" w:rsidP="00CB24CC">
      <w:pPr>
        <w:ind w:left="720" w:hanging="720"/>
        <w:rPr>
          <w:sz w:val="22"/>
          <w:szCs w:val="22"/>
        </w:rPr>
      </w:pPr>
      <w:r w:rsidRPr="00CB24CC">
        <w:rPr>
          <w:b/>
          <w:bCs/>
          <w:sz w:val="22"/>
          <w:szCs w:val="22"/>
        </w:rPr>
        <w:t>Q13.</w:t>
      </w:r>
      <w:r w:rsidRPr="00CB24CC">
        <w:rPr>
          <w:sz w:val="22"/>
          <w:szCs w:val="22"/>
        </w:rPr>
        <w:tab/>
        <w:t>Can you explain Attachment I</w:t>
      </w:r>
      <w:r>
        <w:rPr>
          <w:sz w:val="22"/>
          <w:szCs w:val="22"/>
        </w:rPr>
        <w:t>,</w:t>
      </w:r>
      <w:r w:rsidRPr="00CB24CC">
        <w:rPr>
          <w:sz w:val="22"/>
          <w:szCs w:val="22"/>
        </w:rPr>
        <w:t xml:space="preserve"> please</w:t>
      </w:r>
      <w:r>
        <w:rPr>
          <w:sz w:val="22"/>
          <w:szCs w:val="22"/>
        </w:rPr>
        <w:t>?</w:t>
      </w:r>
      <w:r w:rsidRPr="00CB24CC">
        <w:rPr>
          <w:sz w:val="22"/>
          <w:szCs w:val="22"/>
        </w:rPr>
        <w:t xml:space="preserve"> I think we are to go to the column that best explains the residential treatment we have and then answer the questions to the left of the page. Is that correct?</w:t>
      </w:r>
    </w:p>
    <w:p w14:paraId="6275F36E" w14:textId="6208AFE8" w:rsidR="00287B86" w:rsidRDefault="00287B86" w:rsidP="00CB24CC">
      <w:pPr>
        <w:ind w:left="720" w:hanging="720"/>
        <w:rPr>
          <w:rFonts w:ascii="Calibri" w:hAnsi="Calibri"/>
        </w:rPr>
      </w:pPr>
    </w:p>
    <w:p w14:paraId="0251352C" w14:textId="191FDFED" w:rsidR="00287B86" w:rsidRPr="00287B86" w:rsidRDefault="0056443E" w:rsidP="00083718">
      <w:pPr>
        <w:pStyle w:val="ListParagraph"/>
        <w:numPr>
          <w:ilvl w:val="0"/>
          <w:numId w:val="13"/>
        </w:numPr>
        <w:tabs>
          <w:tab w:val="left" w:pos="1080"/>
        </w:tabs>
        <w:ind w:left="720" w:firstLine="0"/>
        <w:rPr>
          <w:rFonts w:cs="Arial"/>
          <w:color w:val="FF0000"/>
          <w:sz w:val="22"/>
          <w:szCs w:val="22"/>
        </w:rPr>
      </w:pPr>
      <w:r>
        <w:rPr>
          <w:rFonts w:cs="Arial"/>
          <w:sz w:val="22"/>
          <w:szCs w:val="22"/>
        </w:rPr>
        <w:t>This is correct.</w:t>
      </w:r>
    </w:p>
    <w:p w14:paraId="05AB506E" w14:textId="166F3F4A" w:rsidR="00CB24CC" w:rsidRDefault="00CB24CC" w:rsidP="00CB24CC">
      <w:pPr>
        <w:pStyle w:val="ListParagraph"/>
        <w:tabs>
          <w:tab w:val="left" w:pos="1080"/>
        </w:tabs>
        <w:ind w:hanging="720"/>
        <w:rPr>
          <w:sz w:val="22"/>
          <w:szCs w:val="22"/>
        </w:rPr>
      </w:pPr>
    </w:p>
    <w:p w14:paraId="0FCAEC6F" w14:textId="254C0F54" w:rsidR="00BF430A" w:rsidRPr="0033751A" w:rsidRDefault="00BF430A" w:rsidP="0033751A">
      <w:pPr>
        <w:spacing w:after="160" w:line="252" w:lineRule="auto"/>
        <w:ind w:left="720" w:hanging="720"/>
        <w:rPr>
          <w:rFonts w:ascii="Calibri" w:hAnsi="Calibri"/>
          <w:sz w:val="22"/>
          <w:szCs w:val="22"/>
        </w:rPr>
      </w:pPr>
      <w:r w:rsidRPr="00BF430A">
        <w:rPr>
          <w:rFonts w:cs="Arial"/>
          <w:b/>
          <w:bCs/>
          <w:sz w:val="22"/>
          <w:szCs w:val="22"/>
        </w:rPr>
        <w:t>Q14.</w:t>
      </w:r>
      <w:r w:rsidRPr="00BF430A">
        <w:rPr>
          <w:rFonts w:cs="Arial"/>
          <w:sz w:val="22"/>
          <w:szCs w:val="22"/>
        </w:rPr>
        <w:tab/>
        <w:t>Background check requirements</w:t>
      </w:r>
      <w:r w:rsidRPr="00BF430A">
        <w:rPr>
          <w:rFonts w:cs="Arial"/>
          <w:sz w:val="22"/>
          <w:szCs w:val="22"/>
          <w:u w:val="single"/>
        </w:rPr>
        <w:t xml:space="preserve"> </w:t>
      </w:r>
      <w:r w:rsidRPr="00BF430A">
        <w:rPr>
          <w:rFonts w:cs="Arial"/>
          <w:sz w:val="22"/>
          <w:szCs w:val="22"/>
        </w:rPr>
        <w:t>- There is a discrepancy in the requirements in the RFP. Which is the correct requirement?</w:t>
      </w:r>
    </w:p>
    <w:p w14:paraId="1A96306C" w14:textId="7A1BD0F8" w:rsidR="00BF430A" w:rsidRPr="00237A5E" w:rsidRDefault="00BF430A" w:rsidP="00237A5E">
      <w:pPr>
        <w:pStyle w:val="ListParagraph"/>
        <w:numPr>
          <w:ilvl w:val="1"/>
          <w:numId w:val="14"/>
        </w:numPr>
        <w:spacing w:after="160" w:line="252" w:lineRule="auto"/>
        <w:contextualSpacing w:val="0"/>
        <w:rPr>
          <w:sz w:val="22"/>
          <w:szCs w:val="22"/>
        </w:rPr>
      </w:pPr>
      <w:r w:rsidRPr="00BF430A">
        <w:rPr>
          <w:rFonts w:cs="Arial"/>
          <w:sz w:val="22"/>
          <w:szCs w:val="22"/>
        </w:rPr>
        <w:t xml:space="preserve">Page 15 states that an annual transcript from the local police </w:t>
      </w:r>
      <w:r w:rsidR="00906B0B">
        <w:rPr>
          <w:rFonts w:cs="Arial"/>
          <w:sz w:val="22"/>
          <w:szCs w:val="22"/>
        </w:rPr>
        <w:t xml:space="preserve">OR </w:t>
      </w:r>
      <w:r w:rsidRPr="00BF430A">
        <w:rPr>
          <w:rFonts w:cs="Arial"/>
          <w:sz w:val="22"/>
          <w:szCs w:val="22"/>
        </w:rPr>
        <w:t xml:space="preserve">sheriff’s office and BCII/FBI must be obtained </w:t>
      </w:r>
      <w:r w:rsidR="00906B0B">
        <w:rPr>
          <w:rFonts w:cs="Arial"/>
          <w:sz w:val="22"/>
          <w:szCs w:val="22"/>
        </w:rPr>
        <w:t>every 2 years.</w:t>
      </w:r>
    </w:p>
    <w:p w14:paraId="51E3C6E3" w14:textId="053ED96E" w:rsidR="00BF430A" w:rsidRPr="00AD65F5" w:rsidRDefault="00BF430A" w:rsidP="00083718">
      <w:pPr>
        <w:pStyle w:val="ListParagraph"/>
        <w:numPr>
          <w:ilvl w:val="1"/>
          <w:numId w:val="15"/>
        </w:numPr>
        <w:spacing w:after="160" w:line="252" w:lineRule="auto"/>
        <w:contextualSpacing w:val="0"/>
        <w:rPr>
          <w:sz w:val="22"/>
          <w:szCs w:val="22"/>
        </w:rPr>
      </w:pPr>
      <w:r w:rsidRPr="00BF430A">
        <w:rPr>
          <w:rFonts w:cs="Arial"/>
          <w:sz w:val="22"/>
          <w:szCs w:val="22"/>
        </w:rPr>
        <w:t xml:space="preserve">Page 22 (Employee qualifications) states that providers will </w:t>
      </w:r>
      <w:r w:rsidR="00AA3829">
        <w:rPr>
          <w:rFonts w:cs="Arial"/>
          <w:sz w:val="22"/>
          <w:szCs w:val="22"/>
        </w:rPr>
        <w:t xml:space="preserve">annually </w:t>
      </w:r>
      <w:r w:rsidRPr="00BF430A">
        <w:rPr>
          <w:rFonts w:cs="Arial"/>
          <w:sz w:val="22"/>
          <w:szCs w:val="22"/>
        </w:rPr>
        <w:t>obtain a complete criminal record check (BCII/FBI) for all individuals.</w:t>
      </w:r>
    </w:p>
    <w:p w14:paraId="2A51E508" w14:textId="77777777" w:rsidR="00BF430A" w:rsidRPr="00BF430A" w:rsidRDefault="00BF430A" w:rsidP="00083718">
      <w:pPr>
        <w:pStyle w:val="ListParagraph"/>
        <w:numPr>
          <w:ilvl w:val="1"/>
          <w:numId w:val="16"/>
        </w:numPr>
        <w:spacing w:after="160" w:line="252" w:lineRule="auto"/>
        <w:contextualSpacing w:val="0"/>
        <w:rPr>
          <w:sz w:val="22"/>
          <w:szCs w:val="22"/>
        </w:rPr>
      </w:pPr>
      <w:r w:rsidRPr="00BF430A">
        <w:rPr>
          <w:rFonts w:cs="Arial"/>
          <w:sz w:val="22"/>
          <w:szCs w:val="22"/>
        </w:rPr>
        <w:t>Page 95 in the sample contract asks for annual BCII and transcript form the Cincinnati Police Department, Hamilton County Sheriff’s department and any other necessary.  This is different than the requirements identified on page 15, which asks for one or the other.</w:t>
      </w:r>
    </w:p>
    <w:p w14:paraId="44DBC5B6" w14:textId="7C7FDCA4" w:rsidR="00BF430A" w:rsidRPr="00904F01" w:rsidRDefault="00B74FDF" w:rsidP="00083718">
      <w:pPr>
        <w:pStyle w:val="ListParagraph"/>
        <w:numPr>
          <w:ilvl w:val="0"/>
          <w:numId w:val="17"/>
        </w:numPr>
        <w:tabs>
          <w:tab w:val="left" w:pos="1080"/>
        </w:tabs>
        <w:ind w:firstLine="0"/>
        <w:rPr>
          <w:sz w:val="22"/>
          <w:szCs w:val="22"/>
        </w:rPr>
      </w:pPr>
      <w:r w:rsidRPr="00904F01">
        <w:rPr>
          <w:sz w:val="22"/>
          <w:szCs w:val="22"/>
        </w:rPr>
        <w:t>See response for Q5</w:t>
      </w:r>
      <w:r w:rsidR="00847548" w:rsidRPr="00904F01">
        <w:rPr>
          <w:sz w:val="22"/>
          <w:szCs w:val="22"/>
        </w:rPr>
        <w:t xml:space="preserve"> </w:t>
      </w:r>
      <w:proofErr w:type="gramStart"/>
      <w:r w:rsidR="00847548" w:rsidRPr="00904F01">
        <w:rPr>
          <w:sz w:val="22"/>
          <w:szCs w:val="22"/>
        </w:rPr>
        <w:t>and also</w:t>
      </w:r>
      <w:proofErr w:type="gramEnd"/>
      <w:r w:rsidR="00847548" w:rsidRPr="00904F01">
        <w:rPr>
          <w:sz w:val="22"/>
          <w:szCs w:val="22"/>
        </w:rPr>
        <w:t xml:space="preserve"> </w:t>
      </w:r>
      <w:r w:rsidR="00026684" w:rsidRPr="00904F01">
        <w:rPr>
          <w:sz w:val="22"/>
          <w:szCs w:val="22"/>
        </w:rPr>
        <w:t>see RFP exhibit B</w:t>
      </w:r>
      <w:r w:rsidR="001C70A1" w:rsidRPr="00904F01">
        <w:rPr>
          <w:sz w:val="22"/>
          <w:szCs w:val="22"/>
        </w:rPr>
        <w:t>, Sample Contract Packet, HCJFS Contract pages 18 and 19 that replaces the screening language in the SACWIS contract</w:t>
      </w:r>
      <w:r w:rsidR="00E33BEF" w:rsidRPr="00904F01">
        <w:rPr>
          <w:sz w:val="22"/>
          <w:szCs w:val="22"/>
        </w:rPr>
        <w:t>. The reviews are to be completed annually.</w:t>
      </w:r>
    </w:p>
    <w:p w14:paraId="4C6917CF" w14:textId="76C33C22" w:rsidR="009C50B9" w:rsidRDefault="009C50B9" w:rsidP="009C50B9">
      <w:pPr>
        <w:pStyle w:val="ListParagraph"/>
        <w:tabs>
          <w:tab w:val="left" w:pos="1080"/>
        </w:tabs>
        <w:rPr>
          <w:sz w:val="22"/>
          <w:szCs w:val="22"/>
        </w:rPr>
      </w:pPr>
    </w:p>
    <w:p w14:paraId="32732088" w14:textId="4E004BD2" w:rsidR="009C50B9" w:rsidRPr="00AD65F5" w:rsidRDefault="009C50B9" w:rsidP="00AD65F5">
      <w:pPr>
        <w:spacing w:after="160" w:line="252" w:lineRule="auto"/>
        <w:ind w:left="720" w:hanging="720"/>
        <w:rPr>
          <w:rFonts w:ascii="Calibri" w:hAnsi="Calibri"/>
          <w:sz w:val="22"/>
          <w:szCs w:val="22"/>
        </w:rPr>
      </w:pPr>
      <w:r w:rsidRPr="009C50B9">
        <w:rPr>
          <w:rFonts w:cs="Arial"/>
          <w:b/>
          <w:bCs/>
          <w:sz w:val="22"/>
          <w:szCs w:val="22"/>
        </w:rPr>
        <w:t>Q15.</w:t>
      </w:r>
      <w:r w:rsidRPr="009C50B9">
        <w:rPr>
          <w:rFonts w:cs="Arial"/>
          <w:sz w:val="22"/>
          <w:szCs w:val="22"/>
        </w:rPr>
        <w:t xml:space="preserve"> </w:t>
      </w:r>
      <w:r w:rsidRPr="009C50B9">
        <w:rPr>
          <w:rFonts w:cs="Arial"/>
          <w:sz w:val="22"/>
          <w:szCs w:val="22"/>
        </w:rPr>
        <w:tab/>
        <w:t xml:space="preserve">Employee qualifications page 21.  “Staff must have a minimum of two years’ experience with working with families in a similar service.”  </w:t>
      </w:r>
    </w:p>
    <w:p w14:paraId="5E1766C4" w14:textId="404A2847" w:rsidR="009C50B9" w:rsidRPr="00AD65F5" w:rsidRDefault="009C50B9" w:rsidP="00083718">
      <w:pPr>
        <w:pStyle w:val="ListParagraph"/>
        <w:numPr>
          <w:ilvl w:val="1"/>
          <w:numId w:val="18"/>
        </w:numPr>
        <w:spacing w:after="160" w:line="252" w:lineRule="auto"/>
        <w:contextualSpacing w:val="0"/>
        <w:rPr>
          <w:sz w:val="22"/>
          <w:szCs w:val="22"/>
        </w:rPr>
      </w:pPr>
      <w:r w:rsidRPr="009C50B9">
        <w:rPr>
          <w:rFonts w:cs="Arial"/>
          <w:sz w:val="22"/>
          <w:szCs w:val="22"/>
        </w:rPr>
        <w:t>Does this apply to all staff:  Environmental services, maintenance, direct care, management, nursing, social work or LPCC?</w:t>
      </w:r>
    </w:p>
    <w:p w14:paraId="42CE5E45" w14:textId="7C698B94" w:rsidR="009C50B9" w:rsidRPr="00AD65F5" w:rsidRDefault="009C50B9" w:rsidP="00083718">
      <w:pPr>
        <w:pStyle w:val="ListParagraph"/>
        <w:numPr>
          <w:ilvl w:val="1"/>
          <w:numId w:val="19"/>
        </w:numPr>
        <w:spacing w:after="160" w:line="252" w:lineRule="auto"/>
        <w:contextualSpacing w:val="0"/>
        <w:rPr>
          <w:sz w:val="22"/>
          <w:szCs w:val="22"/>
        </w:rPr>
      </w:pPr>
      <w:r w:rsidRPr="009C50B9">
        <w:rPr>
          <w:rFonts w:cs="Arial"/>
          <w:sz w:val="22"/>
          <w:szCs w:val="22"/>
        </w:rPr>
        <w:t>What qualifies as a similar service? To their role or as a residential employee or in a related job to their current position i.e. food services, environmental services?</w:t>
      </w:r>
    </w:p>
    <w:p w14:paraId="73C2AA50" w14:textId="6F75DD55" w:rsidR="00AD65F5" w:rsidRDefault="007637F5" w:rsidP="008447D3">
      <w:pPr>
        <w:pStyle w:val="ListParagraph"/>
        <w:numPr>
          <w:ilvl w:val="0"/>
          <w:numId w:val="20"/>
        </w:numPr>
        <w:tabs>
          <w:tab w:val="left" w:pos="1080"/>
        </w:tabs>
        <w:spacing w:after="160" w:line="252" w:lineRule="auto"/>
        <w:ind w:left="720" w:firstLine="0"/>
        <w:contextualSpacing w:val="0"/>
        <w:rPr>
          <w:sz w:val="22"/>
          <w:szCs w:val="22"/>
        </w:rPr>
      </w:pPr>
      <w:r w:rsidRPr="007637F5">
        <w:rPr>
          <w:sz w:val="22"/>
          <w:szCs w:val="22"/>
        </w:rPr>
        <w:t>This was addressed in Addenda 4 Question #12 - the response was: Please use the following language for this RFP: Education and training: Staff will have education and licensure commensurate with responsibilities and programmatic licensing criteria.</w:t>
      </w:r>
    </w:p>
    <w:p w14:paraId="17B90363" w14:textId="2FC3AA08" w:rsidR="008447D3" w:rsidRDefault="008447D3" w:rsidP="008447D3">
      <w:pPr>
        <w:pStyle w:val="ListParagraph"/>
        <w:spacing w:after="160" w:line="252" w:lineRule="auto"/>
        <w:contextualSpacing w:val="0"/>
        <w:rPr>
          <w:sz w:val="22"/>
          <w:szCs w:val="22"/>
        </w:rPr>
      </w:pPr>
    </w:p>
    <w:p w14:paraId="005ED02C" w14:textId="77777777" w:rsidR="008447D3" w:rsidRPr="009C50B9" w:rsidRDefault="008447D3" w:rsidP="008447D3">
      <w:pPr>
        <w:pStyle w:val="ListParagraph"/>
        <w:spacing w:after="160" w:line="252" w:lineRule="auto"/>
        <w:contextualSpacing w:val="0"/>
        <w:rPr>
          <w:sz w:val="22"/>
          <w:szCs w:val="22"/>
        </w:rPr>
      </w:pPr>
    </w:p>
    <w:p w14:paraId="57330E1D" w14:textId="2DECD7B5" w:rsidR="00007A04" w:rsidRPr="00007A04" w:rsidRDefault="00007A04" w:rsidP="00007A04">
      <w:pPr>
        <w:spacing w:after="160" w:line="252" w:lineRule="auto"/>
        <w:rPr>
          <w:rFonts w:ascii="Calibri" w:hAnsi="Calibri"/>
          <w:sz w:val="22"/>
          <w:szCs w:val="22"/>
        </w:rPr>
      </w:pPr>
      <w:r w:rsidRPr="00007A04">
        <w:rPr>
          <w:b/>
          <w:bCs/>
          <w:sz w:val="22"/>
          <w:szCs w:val="22"/>
        </w:rPr>
        <w:t>Q16</w:t>
      </w:r>
      <w:r w:rsidRPr="00007A04">
        <w:rPr>
          <w:sz w:val="22"/>
          <w:szCs w:val="22"/>
        </w:rPr>
        <w:t xml:space="preserve">. </w:t>
      </w:r>
      <w:r w:rsidRPr="00007A04">
        <w:rPr>
          <w:sz w:val="22"/>
          <w:szCs w:val="22"/>
        </w:rPr>
        <w:tab/>
      </w:r>
      <w:r w:rsidRPr="00007A04">
        <w:rPr>
          <w:rFonts w:cs="Arial"/>
          <w:sz w:val="22"/>
          <w:szCs w:val="22"/>
          <w:u w:val="single"/>
        </w:rPr>
        <w:t>Overlap or discrepancy in requested documentation</w:t>
      </w:r>
      <w:r w:rsidRPr="00007A04">
        <w:rPr>
          <w:rFonts w:cs="Arial"/>
          <w:sz w:val="22"/>
          <w:szCs w:val="22"/>
        </w:rPr>
        <w:t>:</w:t>
      </w:r>
    </w:p>
    <w:p w14:paraId="1A8E0CDB" w14:textId="3079D97F" w:rsidR="00007A04" w:rsidRPr="00237A5E" w:rsidRDefault="00007A04" w:rsidP="00CD7B24">
      <w:pPr>
        <w:pStyle w:val="ListParagraph"/>
        <w:numPr>
          <w:ilvl w:val="1"/>
          <w:numId w:val="22"/>
        </w:numPr>
        <w:rPr>
          <w:rFonts w:cs="Arial"/>
          <w:sz w:val="24"/>
          <w:szCs w:val="24"/>
        </w:rPr>
      </w:pPr>
      <w:r w:rsidRPr="00CD7B24">
        <w:rPr>
          <w:rFonts w:cs="Arial"/>
          <w:sz w:val="22"/>
          <w:szCs w:val="22"/>
        </w:rPr>
        <w:t>Page 23 refers to attaching a signed release of information form as</w:t>
      </w:r>
      <w:r w:rsidR="00CD7B24">
        <w:rPr>
          <w:rFonts w:cs="Arial"/>
          <w:sz w:val="22"/>
          <w:szCs w:val="22"/>
        </w:rPr>
        <w:t xml:space="preserve"> </w:t>
      </w:r>
      <w:r w:rsidR="00CD7B24" w:rsidRPr="00CD7B24">
        <w:rPr>
          <w:rFonts w:cs="Arial"/>
          <w:sz w:val="22"/>
          <w:szCs w:val="22"/>
        </w:rPr>
        <w:t>“</w:t>
      </w:r>
      <w:r w:rsidR="00CD7B24" w:rsidRPr="00CD7B24">
        <w:rPr>
          <w:rFonts w:cs="Arial"/>
          <w:b/>
          <w:bCs/>
          <w:sz w:val="22"/>
          <w:szCs w:val="22"/>
        </w:rPr>
        <w:t>exhibit</w:t>
      </w:r>
      <w:proofErr w:type="gramStart"/>
      <w:r w:rsidR="00CD7B24" w:rsidRPr="00CD7B24">
        <w:rPr>
          <w:rFonts w:cs="Arial"/>
          <w:b/>
          <w:bCs/>
          <w:sz w:val="22"/>
          <w:szCs w:val="22"/>
        </w:rPr>
        <w:t>-</w:t>
      </w:r>
      <w:r w:rsidR="00CD7B24">
        <w:rPr>
          <w:rFonts w:cs="Arial"/>
          <w:b/>
          <w:bCs/>
          <w:sz w:val="22"/>
          <w:szCs w:val="22"/>
        </w:rPr>
        <w:t>“</w:t>
      </w:r>
      <w:proofErr w:type="gramEnd"/>
    </w:p>
    <w:p w14:paraId="4D999C73" w14:textId="77777777" w:rsidR="00237A5E" w:rsidRPr="00237A5E" w:rsidRDefault="00237A5E" w:rsidP="00237A5E">
      <w:pPr>
        <w:spacing w:line="160" w:lineRule="exact"/>
        <w:ind w:left="1080"/>
        <w:rPr>
          <w:rFonts w:cs="Arial"/>
          <w:sz w:val="24"/>
          <w:szCs w:val="24"/>
        </w:rPr>
      </w:pPr>
    </w:p>
    <w:p w14:paraId="69FDB953" w14:textId="330C3634" w:rsidR="00007A04" w:rsidRPr="00237A5E" w:rsidRDefault="00007A04" w:rsidP="002D22C2">
      <w:pPr>
        <w:pStyle w:val="ListParagraph"/>
        <w:numPr>
          <w:ilvl w:val="1"/>
          <w:numId w:val="22"/>
        </w:numPr>
        <w:rPr>
          <w:rFonts w:cs="Arial"/>
          <w:sz w:val="22"/>
          <w:szCs w:val="22"/>
        </w:rPr>
      </w:pPr>
      <w:r w:rsidRPr="002D22C2">
        <w:rPr>
          <w:rFonts w:cs="Arial"/>
          <w:sz w:val="22"/>
          <w:szCs w:val="22"/>
        </w:rPr>
        <w:t xml:space="preserve">Page 25 refers to attaching a release of information form as </w:t>
      </w:r>
      <w:r w:rsidR="002D22C2" w:rsidRPr="002D22C2">
        <w:rPr>
          <w:rFonts w:cs="Arial"/>
          <w:sz w:val="22"/>
          <w:szCs w:val="22"/>
        </w:rPr>
        <w:t>“</w:t>
      </w:r>
      <w:r w:rsidR="002D22C2" w:rsidRPr="002D22C2">
        <w:rPr>
          <w:rFonts w:cs="Arial"/>
          <w:b/>
          <w:bCs/>
          <w:sz w:val="22"/>
          <w:szCs w:val="22"/>
        </w:rPr>
        <w:t xml:space="preserve">exhibit </w:t>
      </w:r>
      <w:proofErr w:type="gramStart"/>
      <w:r w:rsidR="002D22C2" w:rsidRPr="002D22C2">
        <w:rPr>
          <w:rFonts w:cs="Arial"/>
          <w:b/>
          <w:bCs/>
          <w:sz w:val="22"/>
          <w:szCs w:val="22"/>
        </w:rPr>
        <w:t>IX“</w:t>
      </w:r>
      <w:proofErr w:type="gramEnd"/>
    </w:p>
    <w:p w14:paraId="7688444D" w14:textId="77777777" w:rsidR="00237A5E" w:rsidRPr="00237A5E" w:rsidRDefault="00237A5E" w:rsidP="00237A5E">
      <w:pPr>
        <w:rPr>
          <w:rFonts w:cs="Arial"/>
          <w:sz w:val="22"/>
          <w:szCs w:val="22"/>
        </w:rPr>
      </w:pPr>
    </w:p>
    <w:p w14:paraId="45BB9F96" w14:textId="04FF355B" w:rsidR="00007A04" w:rsidRPr="000912FE" w:rsidRDefault="00007A04" w:rsidP="00083718">
      <w:pPr>
        <w:pStyle w:val="ListParagraph"/>
        <w:numPr>
          <w:ilvl w:val="1"/>
          <w:numId w:val="23"/>
        </w:numPr>
        <w:spacing w:after="160" w:line="252" w:lineRule="auto"/>
        <w:contextualSpacing w:val="0"/>
        <w:rPr>
          <w:sz w:val="22"/>
          <w:szCs w:val="22"/>
        </w:rPr>
      </w:pPr>
      <w:r w:rsidRPr="000912FE">
        <w:rPr>
          <w:rFonts w:cs="Arial"/>
          <w:sz w:val="22"/>
          <w:szCs w:val="22"/>
        </w:rPr>
        <w:t>Are these the same form?  If not, should the form requested on page 23 be labeled “</w:t>
      </w:r>
      <w:r w:rsidRPr="000912FE">
        <w:rPr>
          <w:rFonts w:cs="Arial"/>
          <w:b/>
          <w:bCs/>
          <w:sz w:val="22"/>
          <w:szCs w:val="22"/>
        </w:rPr>
        <w:t>Exhibit</w:t>
      </w:r>
      <w:proofErr w:type="gramStart"/>
      <w:r w:rsidRPr="000912FE">
        <w:rPr>
          <w:rFonts w:cs="Arial"/>
          <w:b/>
          <w:bCs/>
          <w:sz w:val="22"/>
          <w:szCs w:val="22"/>
        </w:rPr>
        <w:t>-</w:t>
      </w:r>
      <w:r w:rsidRPr="000912FE">
        <w:rPr>
          <w:rFonts w:cs="Arial"/>
          <w:sz w:val="22"/>
          <w:szCs w:val="22"/>
        </w:rPr>
        <w:t>“</w:t>
      </w:r>
      <w:proofErr w:type="gramEnd"/>
      <w:r w:rsidRPr="000912FE">
        <w:rPr>
          <w:rFonts w:cs="Arial"/>
          <w:sz w:val="22"/>
          <w:szCs w:val="22"/>
        </w:rPr>
        <w:t xml:space="preserve">?  </w:t>
      </w:r>
    </w:p>
    <w:p w14:paraId="5816124B" w14:textId="0D081638" w:rsidR="004005A9" w:rsidRPr="004005A9" w:rsidRDefault="004005A9" w:rsidP="009E003C">
      <w:pPr>
        <w:pStyle w:val="ListParagraph"/>
        <w:numPr>
          <w:ilvl w:val="0"/>
          <w:numId w:val="24"/>
        </w:numPr>
        <w:tabs>
          <w:tab w:val="left" w:pos="720"/>
          <w:tab w:val="left" w:pos="900"/>
          <w:tab w:val="left" w:pos="1080"/>
        </w:tabs>
        <w:spacing w:after="160" w:line="252" w:lineRule="auto"/>
        <w:ind w:left="720" w:firstLine="0"/>
        <w:rPr>
          <w:rFonts w:cs="Arial"/>
          <w:sz w:val="22"/>
          <w:szCs w:val="22"/>
        </w:rPr>
      </w:pPr>
      <w:r w:rsidRPr="004005A9">
        <w:rPr>
          <w:rFonts w:cs="Arial"/>
          <w:sz w:val="22"/>
          <w:szCs w:val="22"/>
        </w:rPr>
        <w:t xml:space="preserve">Yes, page 23 “exhibit -” should read: as Exhibit IX - Release of Personnel Records and Criminal Record Check  </w:t>
      </w:r>
    </w:p>
    <w:p w14:paraId="26F4E89A" w14:textId="5F3B08D9" w:rsidR="004005A9" w:rsidRPr="00B434CE" w:rsidRDefault="00007A04" w:rsidP="00B434CE">
      <w:pPr>
        <w:pStyle w:val="ListParagraph"/>
        <w:ind w:left="1440"/>
        <w:rPr>
          <w:rFonts w:cs="Arial"/>
          <w:sz w:val="24"/>
          <w:szCs w:val="24"/>
        </w:rPr>
      </w:pPr>
      <w:r>
        <w:rPr>
          <w:rFonts w:cs="Arial"/>
          <w:sz w:val="24"/>
          <w:szCs w:val="24"/>
        </w:rPr>
        <w:t> </w:t>
      </w:r>
    </w:p>
    <w:p w14:paraId="3E22EBB5" w14:textId="7E75DD17" w:rsidR="00007A04" w:rsidRPr="0060348F" w:rsidRDefault="00F7672C" w:rsidP="00007A04">
      <w:pPr>
        <w:pStyle w:val="ListParagraph"/>
        <w:tabs>
          <w:tab w:val="left" w:pos="1080"/>
        </w:tabs>
        <w:ind w:hanging="720"/>
        <w:rPr>
          <w:rFonts w:cs="Arial"/>
          <w:sz w:val="22"/>
          <w:szCs w:val="22"/>
        </w:rPr>
      </w:pPr>
      <w:r w:rsidRPr="00F7672C">
        <w:rPr>
          <w:rFonts w:cs="Arial"/>
          <w:b/>
          <w:bCs/>
          <w:sz w:val="22"/>
          <w:szCs w:val="22"/>
        </w:rPr>
        <w:t>Q17.</w:t>
      </w:r>
      <w:r w:rsidRPr="00F7672C">
        <w:rPr>
          <w:rFonts w:cs="Arial"/>
          <w:sz w:val="22"/>
          <w:szCs w:val="22"/>
        </w:rPr>
        <w:t xml:space="preserve"> </w:t>
      </w:r>
      <w:r w:rsidRPr="00F7672C">
        <w:rPr>
          <w:rFonts w:cs="Arial"/>
          <w:sz w:val="22"/>
          <w:szCs w:val="22"/>
        </w:rPr>
        <w:tab/>
      </w:r>
      <w:r w:rsidR="00007A04" w:rsidRPr="0060348F">
        <w:rPr>
          <w:rFonts w:cs="Arial"/>
          <w:sz w:val="22"/>
          <w:szCs w:val="22"/>
        </w:rPr>
        <w:t>Page 26: asks for a signed release of information form as “</w:t>
      </w:r>
      <w:r w:rsidR="00007A04" w:rsidRPr="00A7271F">
        <w:rPr>
          <w:rFonts w:cs="Arial"/>
          <w:sz w:val="22"/>
          <w:szCs w:val="22"/>
        </w:rPr>
        <w:t>attachment F</w:t>
      </w:r>
      <w:r w:rsidR="00007A04" w:rsidRPr="0060348F">
        <w:rPr>
          <w:rFonts w:cs="Arial"/>
          <w:sz w:val="22"/>
          <w:szCs w:val="22"/>
        </w:rPr>
        <w:t>” for the Central Registry report by HCJFS or anyone conducting compliance reviews on their behalf. </w:t>
      </w:r>
    </w:p>
    <w:p w14:paraId="0AAFC634" w14:textId="14535C56" w:rsidR="0060348F" w:rsidRPr="0060348F" w:rsidRDefault="0060348F" w:rsidP="00007A04">
      <w:pPr>
        <w:pStyle w:val="ListParagraph"/>
        <w:tabs>
          <w:tab w:val="left" w:pos="1080"/>
        </w:tabs>
        <w:ind w:hanging="720"/>
        <w:rPr>
          <w:rFonts w:cs="Arial"/>
          <w:sz w:val="22"/>
          <w:szCs w:val="22"/>
        </w:rPr>
      </w:pPr>
    </w:p>
    <w:p w14:paraId="1C93F46A" w14:textId="0371CC3A" w:rsidR="0060348F" w:rsidRPr="0060348F" w:rsidRDefault="0060348F" w:rsidP="00083718">
      <w:pPr>
        <w:pStyle w:val="ListParagraph"/>
        <w:numPr>
          <w:ilvl w:val="1"/>
          <w:numId w:val="26"/>
        </w:numPr>
        <w:tabs>
          <w:tab w:val="left" w:pos="1620"/>
        </w:tabs>
        <w:rPr>
          <w:rFonts w:ascii="Calibri" w:hAnsi="Calibri"/>
          <w:sz w:val="22"/>
          <w:szCs w:val="22"/>
        </w:rPr>
      </w:pPr>
      <w:r w:rsidRPr="0060348F">
        <w:rPr>
          <w:rFonts w:cs="Arial"/>
          <w:sz w:val="22"/>
          <w:szCs w:val="22"/>
        </w:rPr>
        <w:t xml:space="preserve">To be clear, we are to submit up to 3 signed release of information forms for every </w:t>
      </w:r>
      <w:proofErr w:type="gramStart"/>
      <w:r w:rsidRPr="0060348F">
        <w:rPr>
          <w:rFonts w:cs="Arial"/>
          <w:sz w:val="22"/>
          <w:szCs w:val="22"/>
        </w:rPr>
        <w:t>employee?</w:t>
      </w:r>
      <w:proofErr w:type="gramEnd"/>
    </w:p>
    <w:p w14:paraId="73143A35" w14:textId="77777777" w:rsidR="0060348F" w:rsidRPr="0060348F" w:rsidRDefault="0060348F" w:rsidP="00083718">
      <w:pPr>
        <w:pStyle w:val="ListParagraph"/>
        <w:numPr>
          <w:ilvl w:val="1"/>
          <w:numId w:val="26"/>
        </w:numPr>
        <w:rPr>
          <w:sz w:val="22"/>
          <w:szCs w:val="22"/>
        </w:rPr>
      </w:pPr>
      <w:r w:rsidRPr="0060348F">
        <w:rPr>
          <w:rFonts w:cs="Arial"/>
          <w:sz w:val="22"/>
          <w:szCs w:val="22"/>
        </w:rPr>
        <w:t>Can we combine any background/criminal history/registry release of information into one form? How would this be labeled?</w:t>
      </w:r>
    </w:p>
    <w:p w14:paraId="6A09E9D4" w14:textId="77777777" w:rsidR="0060348F" w:rsidRPr="0060348F" w:rsidRDefault="0060348F" w:rsidP="00083718">
      <w:pPr>
        <w:pStyle w:val="ListParagraph"/>
        <w:numPr>
          <w:ilvl w:val="1"/>
          <w:numId w:val="26"/>
        </w:numPr>
        <w:rPr>
          <w:sz w:val="22"/>
          <w:szCs w:val="22"/>
        </w:rPr>
      </w:pPr>
      <w:r w:rsidRPr="0060348F">
        <w:rPr>
          <w:rFonts w:cs="Arial"/>
          <w:sz w:val="22"/>
          <w:szCs w:val="22"/>
        </w:rPr>
        <w:t>Is this included in the total page limit?</w:t>
      </w:r>
    </w:p>
    <w:p w14:paraId="2BDBA21E" w14:textId="1756EC22" w:rsidR="006D5A1D" w:rsidRPr="0060348F" w:rsidRDefault="006D5A1D" w:rsidP="0060348F">
      <w:pPr>
        <w:tabs>
          <w:tab w:val="left" w:pos="1080"/>
        </w:tabs>
        <w:rPr>
          <w:rFonts w:cs="Arial"/>
          <w:b/>
          <w:bCs/>
          <w:sz w:val="22"/>
          <w:szCs w:val="22"/>
        </w:rPr>
      </w:pPr>
    </w:p>
    <w:p w14:paraId="7C21ECF2" w14:textId="319C0473" w:rsidR="006D5A1D" w:rsidRDefault="00584740" w:rsidP="006931F2">
      <w:pPr>
        <w:pStyle w:val="ListParagraph"/>
        <w:numPr>
          <w:ilvl w:val="0"/>
          <w:numId w:val="25"/>
        </w:numPr>
        <w:tabs>
          <w:tab w:val="left" w:pos="720"/>
          <w:tab w:val="left" w:pos="1080"/>
        </w:tabs>
        <w:ind w:left="720" w:firstLine="0"/>
        <w:rPr>
          <w:sz w:val="22"/>
          <w:szCs w:val="22"/>
        </w:rPr>
      </w:pPr>
      <w:r w:rsidRPr="004005A9">
        <w:rPr>
          <w:sz w:val="22"/>
          <w:szCs w:val="22"/>
        </w:rPr>
        <w:t>The Central registry</w:t>
      </w:r>
      <w:r w:rsidR="0050103C" w:rsidRPr="004005A9">
        <w:rPr>
          <w:sz w:val="22"/>
          <w:szCs w:val="22"/>
        </w:rPr>
        <w:t>/SACWIS</w:t>
      </w:r>
      <w:r w:rsidRPr="004005A9">
        <w:rPr>
          <w:sz w:val="22"/>
          <w:szCs w:val="22"/>
        </w:rPr>
        <w:t xml:space="preserve"> check is a completely different screening that is to be completed by ODJFS</w:t>
      </w:r>
      <w:r w:rsidR="00C55265" w:rsidRPr="004005A9">
        <w:rPr>
          <w:sz w:val="22"/>
          <w:szCs w:val="22"/>
        </w:rPr>
        <w:t xml:space="preserve"> and they require a separate release form be completed</w:t>
      </w:r>
      <w:r w:rsidR="009A6266" w:rsidRPr="004005A9">
        <w:rPr>
          <w:sz w:val="22"/>
          <w:szCs w:val="22"/>
        </w:rPr>
        <w:t>. Here is a link to</w:t>
      </w:r>
      <w:r w:rsidR="0050103C" w:rsidRPr="004005A9">
        <w:rPr>
          <w:sz w:val="22"/>
          <w:szCs w:val="22"/>
        </w:rPr>
        <w:t xml:space="preserve"> their website:</w:t>
      </w:r>
      <w:r w:rsidR="009A6266" w:rsidRPr="004005A9">
        <w:rPr>
          <w:sz w:val="22"/>
          <w:szCs w:val="22"/>
        </w:rPr>
        <w:t xml:space="preserve"> </w:t>
      </w:r>
      <w:hyperlink r:id="rId17" w:history="1">
        <w:r w:rsidR="0050103C" w:rsidRPr="0050103C">
          <w:rPr>
            <w:color w:val="0000FF"/>
            <w:u w:val="single"/>
          </w:rPr>
          <w:t>OHIO'S SACWIS ALLEGED PERPETRATOR SEARCH (OSAPS) | Office of Families and Children | Ohio Department of Job and Family Services</w:t>
        </w:r>
      </w:hyperlink>
      <w:r w:rsidR="006D5A1D">
        <w:rPr>
          <w:sz w:val="22"/>
          <w:szCs w:val="22"/>
        </w:rPr>
        <w:t>.</w:t>
      </w:r>
    </w:p>
    <w:p w14:paraId="73F804C3" w14:textId="77777777" w:rsidR="00E11A13" w:rsidRPr="00164F61" w:rsidRDefault="00E11A13" w:rsidP="00164F61">
      <w:pPr>
        <w:tabs>
          <w:tab w:val="left" w:pos="1080"/>
        </w:tabs>
        <w:rPr>
          <w:color w:val="FF0000"/>
          <w:sz w:val="22"/>
          <w:szCs w:val="22"/>
        </w:rPr>
      </w:pPr>
    </w:p>
    <w:p w14:paraId="1F35E8AC" w14:textId="2C92F756" w:rsidR="00E11A13" w:rsidRDefault="00E11A13" w:rsidP="00E11A13">
      <w:pPr>
        <w:spacing w:after="160" w:line="252" w:lineRule="auto"/>
        <w:ind w:left="720" w:hanging="720"/>
        <w:rPr>
          <w:rFonts w:cs="Arial"/>
          <w:sz w:val="22"/>
          <w:szCs w:val="22"/>
        </w:rPr>
      </w:pPr>
      <w:r w:rsidRPr="00E11A13">
        <w:rPr>
          <w:rFonts w:cs="Arial"/>
          <w:b/>
          <w:bCs/>
          <w:sz w:val="22"/>
          <w:szCs w:val="22"/>
        </w:rPr>
        <w:t>Q18.</w:t>
      </w:r>
      <w:r w:rsidRPr="00E11A13">
        <w:rPr>
          <w:rFonts w:cs="Arial"/>
          <w:sz w:val="22"/>
          <w:szCs w:val="22"/>
        </w:rPr>
        <w:tab/>
        <w:t>Page 174:  Please define what a “police check” is and what would that policy require?</w:t>
      </w:r>
    </w:p>
    <w:p w14:paraId="1D276DE5" w14:textId="3282E651" w:rsidR="00837102" w:rsidRPr="00B761ED" w:rsidRDefault="002E66B6" w:rsidP="007128A5">
      <w:pPr>
        <w:pStyle w:val="ListParagraph"/>
        <w:numPr>
          <w:ilvl w:val="0"/>
          <w:numId w:val="27"/>
        </w:numPr>
        <w:tabs>
          <w:tab w:val="left" w:pos="1080"/>
        </w:tabs>
        <w:spacing w:after="160" w:line="252" w:lineRule="auto"/>
        <w:ind w:left="720" w:firstLine="0"/>
        <w:rPr>
          <w:rFonts w:cs="Arial"/>
          <w:sz w:val="22"/>
          <w:szCs w:val="22"/>
        </w:rPr>
      </w:pPr>
      <w:r w:rsidRPr="00B761ED">
        <w:rPr>
          <w:rFonts w:cs="Arial"/>
          <w:sz w:val="22"/>
          <w:szCs w:val="22"/>
        </w:rPr>
        <w:t xml:space="preserve">This is </w:t>
      </w:r>
      <w:proofErr w:type="gramStart"/>
      <w:r w:rsidRPr="00B761ED">
        <w:rPr>
          <w:rFonts w:cs="Arial"/>
          <w:sz w:val="22"/>
          <w:szCs w:val="22"/>
        </w:rPr>
        <w:t>in reference to</w:t>
      </w:r>
      <w:proofErr w:type="gramEnd"/>
      <w:r w:rsidRPr="00B761ED">
        <w:rPr>
          <w:rFonts w:cs="Arial"/>
          <w:sz w:val="22"/>
          <w:szCs w:val="22"/>
        </w:rPr>
        <w:t xml:space="preserve"> the criminal records checks required for all individuals working </w:t>
      </w:r>
      <w:r w:rsidR="000A42D5" w:rsidRPr="00B761ED">
        <w:rPr>
          <w:rFonts w:cs="Arial"/>
          <w:sz w:val="22"/>
          <w:szCs w:val="22"/>
        </w:rPr>
        <w:t xml:space="preserve">or volunteering with </w:t>
      </w:r>
      <w:r w:rsidR="00027AF1" w:rsidRPr="00B761ED">
        <w:rPr>
          <w:rFonts w:cs="Arial"/>
          <w:sz w:val="22"/>
          <w:szCs w:val="22"/>
        </w:rPr>
        <w:t xml:space="preserve">customers as </w:t>
      </w:r>
      <w:r w:rsidR="009307C6" w:rsidRPr="00B761ED">
        <w:rPr>
          <w:rFonts w:cs="Arial"/>
          <w:sz w:val="22"/>
          <w:szCs w:val="22"/>
        </w:rPr>
        <w:t>described</w:t>
      </w:r>
      <w:r w:rsidR="00027AF1" w:rsidRPr="00B761ED">
        <w:rPr>
          <w:rFonts w:cs="Arial"/>
          <w:sz w:val="22"/>
          <w:szCs w:val="22"/>
        </w:rPr>
        <w:t xml:space="preserve"> in the </w:t>
      </w:r>
      <w:r w:rsidR="009307C6" w:rsidRPr="00B761ED">
        <w:rPr>
          <w:rFonts w:cs="Arial"/>
          <w:sz w:val="22"/>
          <w:szCs w:val="22"/>
        </w:rPr>
        <w:t>Employee Qualifications, criminal records screenings</w:t>
      </w:r>
      <w:r w:rsidR="008D063D" w:rsidRPr="00B761ED">
        <w:rPr>
          <w:rFonts w:cs="Arial"/>
          <w:sz w:val="22"/>
          <w:szCs w:val="22"/>
        </w:rPr>
        <w:t>.  The policy would describe your organization’s expectations and procedures for all required screenings for employees and volunteers</w:t>
      </w:r>
      <w:r w:rsidR="00C361E3" w:rsidRPr="00B761ED">
        <w:rPr>
          <w:rFonts w:cs="Arial"/>
          <w:sz w:val="22"/>
          <w:szCs w:val="22"/>
        </w:rPr>
        <w:t xml:space="preserve">.  </w:t>
      </w:r>
    </w:p>
    <w:p w14:paraId="22E00332" w14:textId="13BDB4C5" w:rsidR="00E11A13" w:rsidRDefault="00E11A13" w:rsidP="00E11A13">
      <w:pPr>
        <w:pStyle w:val="ListParagraph"/>
        <w:tabs>
          <w:tab w:val="left" w:pos="1080"/>
        </w:tabs>
        <w:ind w:left="1080"/>
        <w:rPr>
          <w:sz w:val="22"/>
          <w:szCs w:val="22"/>
        </w:rPr>
      </w:pPr>
    </w:p>
    <w:p w14:paraId="6FCCA355" w14:textId="6F4545A1" w:rsidR="00B046DF" w:rsidRDefault="00EF728F" w:rsidP="00EF728F">
      <w:pPr>
        <w:tabs>
          <w:tab w:val="left" w:pos="720"/>
          <w:tab w:val="left" w:pos="1440"/>
        </w:tabs>
        <w:ind w:left="720" w:hanging="720"/>
        <w:rPr>
          <w:sz w:val="22"/>
          <w:szCs w:val="22"/>
        </w:rPr>
      </w:pPr>
      <w:r w:rsidRPr="00EF728F">
        <w:rPr>
          <w:b/>
          <w:bCs/>
          <w:sz w:val="22"/>
          <w:szCs w:val="22"/>
        </w:rPr>
        <w:t>Q19.</w:t>
      </w:r>
      <w:r>
        <w:rPr>
          <w:sz w:val="22"/>
          <w:szCs w:val="22"/>
        </w:rPr>
        <w:tab/>
      </w:r>
      <w:r w:rsidR="00B046DF" w:rsidRPr="00EF728F">
        <w:rPr>
          <w:sz w:val="22"/>
          <w:szCs w:val="22"/>
        </w:rPr>
        <w:t>Residential Treatment Grid defines Residential Treatment Staff Secure / Open payments as "unbundled". Are clinical services as outlined in Exhibit I billable on top of proposed per diem?</w:t>
      </w:r>
    </w:p>
    <w:p w14:paraId="4F8D29AC" w14:textId="758492CF" w:rsidR="00EF728F" w:rsidRDefault="00EF728F" w:rsidP="00EF728F">
      <w:pPr>
        <w:tabs>
          <w:tab w:val="left" w:pos="720"/>
          <w:tab w:val="left" w:pos="1440"/>
        </w:tabs>
        <w:ind w:left="720" w:hanging="720"/>
        <w:rPr>
          <w:sz w:val="22"/>
          <w:szCs w:val="22"/>
        </w:rPr>
      </w:pPr>
    </w:p>
    <w:p w14:paraId="7A00FB8B" w14:textId="2AF540AB" w:rsidR="00EF728F" w:rsidRDefault="00011567" w:rsidP="00CB27DD">
      <w:pPr>
        <w:pStyle w:val="ListParagraph"/>
        <w:numPr>
          <w:ilvl w:val="0"/>
          <w:numId w:val="28"/>
        </w:numPr>
        <w:tabs>
          <w:tab w:val="left" w:pos="720"/>
          <w:tab w:val="left" w:pos="1080"/>
        </w:tabs>
        <w:ind w:left="720" w:firstLine="0"/>
        <w:rPr>
          <w:sz w:val="22"/>
          <w:szCs w:val="22"/>
        </w:rPr>
      </w:pPr>
      <w:r w:rsidRPr="00011567">
        <w:rPr>
          <w:sz w:val="22"/>
          <w:szCs w:val="22"/>
        </w:rPr>
        <w:t xml:space="preserve">Unbundled clinical services are not paid by HCJFS. It is expected that the </w:t>
      </w:r>
      <w:r w:rsidR="00ED315F">
        <w:rPr>
          <w:sz w:val="22"/>
          <w:szCs w:val="22"/>
        </w:rPr>
        <w:t>P</w:t>
      </w:r>
      <w:r w:rsidRPr="00011567">
        <w:rPr>
          <w:sz w:val="22"/>
          <w:szCs w:val="22"/>
        </w:rPr>
        <w:t xml:space="preserve">rovider will bill Medicaid for all clinical services delivered to Hamilton County youth in their care.  </w:t>
      </w:r>
    </w:p>
    <w:p w14:paraId="1DBEB385" w14:textId="5819C018" w:rsidR="00A71F47" w:rsidRDefault="00A71F47" w:rsidP="00A71F47">
      <w:pPr>
        <w:tabs>
          <w:tab w:val="left" w:pos="720"/>
          <w:tab w:val="left" w:pos="1080"/>
        </w:tabs>
        <w:rPr>
          <w:sz w:val="22"/>
          <w:szCs w:val="22"/>
        </w:rPr>
      </w:pPr>
    </w:p>
    <w:p w14:paraId="6EEB4F7B" w14:textId="77777777" w:rsidR="00A71F47" w:rsidRPr="00A71F47" w:rsidRDefault="00A71F47" w:rsidP="00A71F47">
      <w:pPr>
        <w:tabs>
          <w:tab w:val="left" w:pos="720"/>
          <w:tab w:val="left" w:pos="1080"/>
        </w:tabs>
        <w:rPr>
          <w:sz w:val="22"/>
          <w:szCs w:val="22"/>
        </w:rPr>
      </w:pPr>
    </w:p>
    <w:p w14:paraId="56122F1F" w14:textId="12A68FDB" w:rsidR="005B4AB5" w:rsidRDefault="005B4AB5" w:rsidP="005B4AB5">
      <w:pPr>
        <w:pStyle w:val="ListParagraph"/>
        <w:tabs>
          <w:tab w:val="left" w:pos="720"/>
          <w:tab w:val="left" w:pos="1440"/>
        </w:tabs>
        <w:ind w:left="1080"/>
        <w:rPr>
          <w:color w:val="FF0000"/>
          <w:sz w:val="22"/>
          <w:szCs w:val="22"/>
        </w:rPr>
      </w:pPr>
    </w:p>
    <w:p w14:paraId="245181AC" w14:textId="733B906C" w:rsidR="005B4AB5" w:rsidRDefault="005B4AB5" w:rsidP="005B4AB5">
      <w:pPr>
        <w:ind w:left="720" w:hanging="720"/>
        <w:rPr>
          <w:sz w:val="22"/>
          <w:szCs w:val="22"/>
        </w:rPr>
      </w:pPr>
      <w:r w:rsidRPr="005B4AB5">
        <w:rPr>
          <w:b/>
          <w:bCs/>
          <w:sz w:val="22"/>
          <w:szCs w:val="22"/>
        </w:rPr>
        <w:lastRenderedPageBreak/>
        <w:t>Q20.</w:t>
      </w:r>
      <w:r>
        <w:rPr>
          <w:sz w:val="22"/>
          <w:szCs w:val="22"/>
        </w:rPr>
        <w:t xml:space="preserve"> </w:t>
      </w:r>
      <w:r>
        <w:rPr>
          <w:sz w:val="22"/>
          <w:szCs w:val="22"/>
        </w:rPr>
        <w:tab/>
      </w:r>
      <w:r w:rsidRPr="005B4AB5">
        <w:rPr>
          <w:sz w:val="22"/>
          <w:szCs w:val="22"/>
        </w:rPr>
        <w:t>Page 8, Section 1.2.2, Subsection 3(d</w:t>
      </w:r>
      <w:r>
        <w:rPr>
          <w:sz w:val="22"/>
          <w:szCs w:val="22"/>
        </w:rPr>
        <w:t xml:space="preserve">): </w:t>
      </w:r>
      <w:r w:rsidRPr="005B4AB5">
        <w:rPr>
          <w:sz w:val="22"/>
          <w:szCs w:val="22"/>
        </w:rPr>
        <w:t>Could you please confirm the required staffing ratio(s) for non-peak hours?</w:t>
      </w:r>
    </w:p>
    <w:p w14:paraId="4F2085F4" w14:textId="2DBFD242" w:rsidR="005B4AB5" w:rsidRDefault="005B4AB5" w:rsidP="005B4AB5">
      <w:pPr>
        <w:ind w:left="720" w:hanging="720"/>
        <w:rPr>
          <w:sz w:val="22"/>
          <w:szCs w:val="22"/>
        </w:rPr>
      </w:pPr>
    </w:p>
    <w:p w14:paraId="3F5A2282" w14:textId="0AFE012A" w:rsidR="00587CFB" w:rsidRPr="00B434CE" w:rsidRDefault="00587CFB" w:rsidP="00B434CE">
      <w:pPr>
        <w:pStyle w:val="Heading2"/>
        <w:numPr>
          <w:ilvl w:val="0"/>
          <w:numId w:val="41"/>
        </w:numPr>
        <w:shd w:val="clear" w:color="auto" w:fill="FFFFFF"/>
        <w:tabs>
          <w:tab w:val="left" w:pos="1080"/>
        </w:tabs>
        <w:spacing w:before="120"/>
        <w:ind w:left="720" w:firstLine="0"/>
        <w:rPr>
          <w:rFonts w:ascii="Arial" w:eastAsia="Times New Roman" w:hAnsi="Arial" w:cs="Arial"/>
          <w:color w:val="auto"/>
          <w:sz w:val="22"/>
          <w:szCs w:val="22"/>
        </w:rPr>
      </w:pPr>
      <w:r w:rsidRPr="00B434CE">
        <w:rPr>
          <w:rFonts w:ascii="Arial" w:hAnsi="Arial" w:cs="Arial"/>
          <w:color w:val="auto"/>
          <w:sz w:val="22"/>
          <w:szCs w:val="22"/>
        </w:rPr>
        <w:t xml:space="preserve">Staffing requirements must comply with the Ohio Administrative Code.  Those are set forth in section </w:t>
      </w:r>
      <w:r w:rsidRPr="00B434CE">
        <w:rPr>
          <w:rFonts w:ascii="Arial" w:eastAsia="Times New Roman" w:hAnsi="Arial" w:cs="Arial"/>
          <w:color w:val="auto"/>
          <w:sz w:val="22"/>
          <w:szCs w:val="22"/>
        </w:rPr>
        <w:t>5101:2-9-02</w:t>
      </w:r>
    </w:p>
    <w:p w14:paraId="32F2080B" w14:textId="58A2DC1E" w:rsidR="005B4AB5" w:rsidRPr="005B4AB5" w:rsidRDefault="005B4AB5" w:rsidP="002D42ED">
      <w:pPr>
        <w:rPr>
          <w:rFonts w:asciiTheme="minorHAnsi" w:hAnsiTheme="minorHAnsi"/>
          <w:sz w:val="22"/>
          <w:szCs w:val="22"/>
        </w:rPr>
      </w:pPr>
    </w:p>
    <w:p w14:paraId="65E86F62" w14:textId="586E7958" w:rsidR="005B4AB5" w:rsidRDefault="005B4AB5" w:rsidP="005B4AB5">
      <w:pPr>
        <w:ind w:left="720" w:hanging="720"/>
        <w:rPr>
          <w:sz w:val="22"/>
          <w:szCs w:val="22"/>
        </w:rPr>
      </w:pPr>
      <w:r w:rsidRPr="005B4AB5">
        <w:rPr>
          <w:b/>
          <w:bCs/>
          <w:sz w:val="22"/>
          <w:szCs w:val="22"/>
        </w:rPr>
        <w:t>Q21.</w:t>
      </w:r>
      <w:r>
        <w:rPr>
          <w:sz w:val="22"/>
          <w:szCs w:val="22"/>
        </w:rPr>
        <w:t xml:space="preserve">    </w:t>
      </w:r>
      <w:r w:rsidRPr="005B4AB5">
        <w:rPr>
          <w:sz w:val="22"/>
          <w:szCs w:val="22"/>
        </w:rPr>
        <w:t>Page 10, Section 1.2.2, Subsection 7</w:t>
      </w:r>
      <w:r>
        <w:rPr>
          <w:sz w:val="22"/>
          <w:szCs w:val="22"/>
        </w:rPr>
        <w:t xml:space="preserve">? </w:t>
      </w:r>
      <w:r w:rsidRPr="005B4AB5">
        <w:rPr>
          <w:sz w:val="22"/>
          <w:szCs w:val="22"/>
        </w:rPr>
        <w:t>Can the Agency elaborate on Provider responsibilities for transportation if services are delivered outside of the state of Ohio? For example, if a child is required to attend a court hearing in person, is the Provider or the Agency responsible for transportation and the cost of that transportation?</w:t>
      </w:r>
    </w:p>
    <w:p w14:paraId="2132075A" w14:textId="1750CE21" w:rsidR="005B4AB5" w:rsidRDefault="005B4AB5" w:rsidP="005B4AB5">
      <w:pPr>
        <w:ind w:left="720" w:hanging="720"/>
        <w:rPr>
          <w:sz w:val="22"/>
          <w:szCs w:val="22"/>
        </w:rPr>
      </w:pPr>
    </w:p>
    <w:p w14:paraId="5E83DD77" w14:textId="42E61B9B" w:rsidR="005B4AB5" w:rsidRPr="002D42ED" w:rsidRDefault="004844EB" w:rsidP="000E041F">
      <w:pPr>
        <w:pStyle w:val="ListParagraph"/>
        <w:numPr>
          <w:ilvl w:val="0"/>
          <w:numId w:val="30"/>
        </w:numPr>
        <w:tabs>
          <w:tab w:val="left" w:pos="720"/>
          <w:tab w:val="left" w:pos="1080"/>
        </w:tabs>
        <w:ind w:left="720" w:firstLine="0"/>
        <w:rPr>
          <w:sz w:val="22"/>
          <w:szCs w:val="22"/>
        </w:rPr>
      </w:pPr>
      <w:r w:rsidRPr="002D42ED">
        <w:rPr>
          <w:sz w:val="22"/>
          <w:szCs w:val="22"/>
        </w:rPr>
        <w:t xml:space="preserve">The </w:t>
      </w:r>
      <w:r w:rsidR="002D42ED">
        <w:rPr>
          <w:sz w:val="22"/>
          <w:szCs w:val="22"/>
        </w:rPr>
        <w:t>P</w:t>
      </w:r>
      <w:r w:rsidRPr="002D42ED">
        <w:rPr>
          <w:sz w:val="22"/>
          <w:szCs w:val="22"/>
        </w:rPr>
        <w:t xml:space="preserve">rovider would be responsible for the transportation.  However, that is not a common occurrence.  </w:t>
      </w:r>
    </w:p>
    <w:p w14:paraId="120097F1" w14:textId="7C26F69E" w:rsidR="005B4AB5" w:rsidRPr="005B4AB5" w:rsidRDefault="005B4AB5" w:rsidP="005B4AB5">
      <w:pPr>
        <w:pStyle w:val="ListParagraph"/>
        <w:ind w:left="1080"/>
        <w:rPr>
          <w:sz w:val="22"/>
          <w:szCs w:val="22"/>
        </w:rPr>
      </w:pPr>
    </w:p>
    <w:p w14:paraId="210602E2" w14:textId="66A328F0" w:rsidR="005B4AB5" w:rsidRDefault="00F5075A" w:rsidP="00F5075A">
      <w:pPr>
        <w:ind w:left="720" w:hanging="720"/>
        <w:rPr>
          <w:sz w:val="22"/>
          <w:szCs w:val="22"/>
        </w:rPr>
      </w:pPr>
      <w:r w:rsidRPr="00F5075A">
        <w:rPr>
          <w:b/>
          <w:bCs/>
          <w:sz w:val="22"/>
          <w:szCs w:val="22"/>
        </w:rPr>
        <w:t>Q22.</w:t>
      </w:r>
      <w:r>
        <w:rPr>
          <w:sz w:val="22"/>
          <w:szCs w:val="22"/>
        </w:rPr>
        <w:tab/>
      </w:r>
      <w:r w:rsidR="005B4AB5" w:rsidRPr="005B4AB5">
        <w:rPr>
          <w:sz w:val="22"/>
          <w:szCs w:val="22"/>
        </w:rPr>
        <w:t>Page 11, Section 1.2.2, Subsection 9</w:t>
      </w:r>
      <w:r>
        <w:rPr>
          <w:sz w:val="22"/>
          <w:szCs w:val="22"/>
        </w:rPr>
        <w:t xml:space="preserve">: </w:t>
      </w:r>
      <w:r w:rsidR="005B4AB5" w:rsidRPr="005B4AB5">
        <w:rPr>
          <w:sz w:val="22"/>
          <w:szCs w:val="22"/>
        </w:rPr>
        <w:t>Can the Agency please define what is meant by "social access" to computers and internet?</w:t>
      </w:r>
    </w:p>
    <w:p w14:paraId="1C665B47" w14:textId="1DC86F56" w:rsidR="00F5075A" w:rsidRDefault="00F5075A" w:rsidP="00F5075A">
      <w:pPr>
        <w:ind w:left="720" w:hanging="720"/>
        <w:rPr>
          <w:sz w:val="22"/>
          <w:szCs w:val="22"/>
        </w:rPr>
      </w:pPr>
    </w:p>
    <w:p w14:paraId="0CD52B8A" w14:textId="1689876C" w:rsidR="00F5075A" w:rsidRPr="004E619F" w:rsidRDefault="004E619F" w:rsidP="004E619F">
      <w:pPr>
        <w:pStyle w:val="ListParagraph"/>
        <w:numPr>
          <w:ilvl w:val="0"/>
          <w:numId w:val="31"/>
        </w:numPr>
        <w:tabs>
          <w:tab w:val="left" w:pos="720"/>
          <w:tab w:val="left" w:pos="1440"/>
        </w:tabs>
        <w:rPr>
          <w:sz w:val="22"/>
          <w:szCs w:val="22"/>
        </w:rPr>
      </w:pPr>
      <w:r w:rsidRPr="004E619F">
        <w:rPr>
          <w:sz w:val="22"/>
          <w:szCs w:val="22"/>
        </w:rPr>
        <w:t xml:space="preserve">Any access that is for social purposes.  </w:t>
      </w:r>
    </w:p>
    <w:p w14:paraId="2D640717" w14:textId="206B5191" w:rsidR="00F5075A" w:rsidRPr="00F5075A" w:rsidRDefault="00F5075A" w:rsidP="00F5075A">
      <w:pPr>
        <w:pStyle w:val="ListParagraph"/>
        <w:ind w:left="1080"/>
        <w:rPr>
          <w:sz w:val="22"/>
          <w:szCs w:val="22"/>
        </w:rPr>
      </w:pPr>
    </w:p>
    <w:p w14:paraId="7EA94A60" w14:textId="2F753EE9" w:rsidR="005B4AB5" w:rsidRDefault="00F418DD" w:rsidP="00F418DD">
      <w:pPr>
        <w:ind w:left="720" w:hanging="720"/>
        <w:rPr>
          <w:sz w:val="22"/>
          <w:szCs w:val="22"/>
        </w:rPr>
      </w:pPr>
      <w:r w:rsidRPr="00F418DD">
        <w:rPr>
          <w:b/>
          <w:bCs/>
          <w:sz w:val="22"/>
          <w:szCs w:val="22"/>
        </w:rPr>
        <w:t>Q23.</w:t>
      </w:r>
      <w:r>
        <w:rPr>
          <w:sz w:val="22"/>
          <w:szCs w:val="22"/>
        </w:rPr>
        <w:tab/>
      </w:r>
      <w:r w:rsidR="005B4AB5" w:rsidRPr="005B4AB5">
        <w:rPr>
          <w:sz w:val="22"/>
          <w:szCs w:val="22"/>
        </w:rPr>
        <w:t>Page 14, Section 1.2.2, Subsection 18</w:t>
      </w:r>
      <w:r>
        <w:rPr>
          <w:sz w:val="22"/>
          <w:szCs w:val="22"/>
        </w:rPr>
        <w:t xml:space="preserve">: </w:t>
      </w:r>
      <w:r w:rsidR="005B4AB5" w:rsidRPr="005B4AB5">
        <w:rPr>
          <w:sz w:val="22"/>
          <w:szCs w:val="22"/>
        </w:rPr>
        <w:t>Does ODJFS have specific requirements about the frequency for individual, family and group therapy sessions?</w:t>
      </w:r>
    </w:p>
    <w:p w14:paraId="1FA7410C" w14:textId="6E7730D7" w:rsidR="002C64CE" w:rsidRDefault="002C64CE" w:rsidP="00F418DD">
      <w:pPr>
        <w:ind w:left="720" w:hanging="720"/>
        <w:rPr>
          <w:sz w:val="22"/>
          <w:szCs w:val="22"/>
        </w:rPr>
      </w:pPr>
    </w:p>
    <w:p w14:paraId="0188F282" w14:textId="39BD34E8" w:rsidR="002C64CE" w:rsidRPr="00D31ED1" w:rsidRDefault="002C64CE" w:rsidP="00D31ED1">
      <w:pPr>
        <w:shd w:val="clear" w:color="auto" w:fill="FFFFFF"/>
        <w:spacing w:before="120"/>
        <w:ind w:left="720"/>
        <w:rPr>
          <w:rFonts w:cs="Arial"/>
          <w:sz w:val="22"/>
          <w:szCs w:val="22"/>
        </w:rPr>
      </w:pPr>
      <w:r w:rsidRPr="00D31ED1">
        <w:rPr>
          <w:b/>
          <w:bCs/>
          <w:sz w:val="22"/>
          <w:szCs w:val="22"/>
        </w:rPr>
        <w:t>A.</w:t>
      </w:r>
      <w:r w:rsidRPr="00D31ED1">
        <w:rPr>
          <w:sz w:val="22"/>
          <w:szCs w:val="22"/>
        </w:rPr>
        <w:t xml:space="preserve">  </w:t>
      </w:r>
      <w:r w:rsidR="00C7681A" w:rsidRPr="00D31ED1">
        <w:rPr>
          <w:rFonts w:cs="Arial"/>
          <w:sz w:val="22"/>
          <w:szCs w:val="22"/>
        </w:rPr>
        <w:t>All OAC requirements should be followed.  As of 10</w:t>
      </w:r>
      <w:r w:rsidRPr="00D31ED1">
        <w:rPr>
          <w:rFonts w:cs="Arial"/>
          <w:sz w:val="22"/>
          <w:szCs w:val="22"/>
        </w:rPr>
        <w:t xml:space="preserve">/1/2021, we expect our </w:t>
      </w:r>
      <w:r w:rsidR="00D31ED1">
        <w:rPr>
          <w:rFonts w:cs="Arial"/>
          <w:sz w:val="22"/>
          <w:szCs w:val="22"/>
        </w:rPr>
        <w:t>P</w:t>
      </w:r>
      <w:r w:rsidRPr="00D31ED1">
        <w:rPr>
          <w:rFonts w:cs="Arial"/>
          <w:sz w:val="22"/>
          <w:szCs w:val="22"/>
        </w:rPr>
        <w:t xml:space="preserve">roviders to be a QRTP. There are requirements set forth in 5101:2-9-42 of the Ohio Administrative Code.  </w:t>
      </w:r>
    </w:p>
    <w:p w14:paraId="792059F7" w14:textId="0A4D6D71" w:rsidR="00F418DD" w:rsidRPr="00F577CD" w:rsidRDefault="00F418DD" w:rsidP="00F577CD">
      <w:pPr>
        <w:rPr>
          <w:sz w:val="22"/>
          <w:szCs w:val="22"/>
        </w:rPr>
      </w:pPr>
    </w:p>
    <w:p w14:paraId="3F974082" w14:textId="70D90186" w:rsidR="005B4AB5" w:rsidRDefault="00083718" w:rsidP="00083718">
      <w:pPr>
        <w:ind w:left="720" w:hanging="720"/>
        <w:rPr>
          <w:sz w:val="22"/>
          <w:szCs w:val="22"/>
        </w:rPr>
      </w:pPr>
      <w:r w:rsidRPr="00083718">
        <w:rPr>
          <w:b/>
          <w:bCs/>
          <w:sz w:val="22"/>
          <w:szCs w:val="22"/>
        </w:rPr>
        <w:t>Q24.</w:t>
      </w:r>
      <w:r>
        <w:rPr>
          <w:sz w:val="22"/>
          <w:szCs w:val="22"/>
        </w:rPr>
        <w:tab/>
      </w:r>
      <w:r w:rsidR="005B4AB5" w:rsidRPr="005B4AB5">
        <w:rPr>
          <w:sz w:val="22"/>
          <w:szCs w:val="22"/>
        </w:rPr>
        <w:t>Page 15, Section 1.2.2, Subsection 21</w:t>
      </w:r>
      <w:r>
        <w:rPr>
          <w:sz w:val="22"/>
          <w:szCs w:val="22"/>
        </w:rPr>
        <w:t xml:space="preserve">: </w:t>
      </w:r>
      <w:r w:rsidR="005B4AB5" w:rsidRPr="005B4AB5">
        <w:rPr>
          <w:sz w:val="22"/>
          <w:szCs w:val="22"/>
        </w:rPr>
        <w:t>Should Quality Improvement reporting include only youth referred by ODJFS (if residents from other referral agencies are all treated within the residential program)?</w:t>
      </w:r>
    </w:p>
    <w:p w14:paraId="501C5C9A" w14:textId="6B196193" w:rsidR="00083718" w:rsidRDefault="00083718" w:rsidP="00083718">
      <w:pPr>
        <w:ind w:left="720" w:hanging="720"/>
        <w:rPr>
          <w:sz w:val="22"/>
          <w:szCs w:val="22"/>
        </w:rPr>
      </w:pPr>
    </w:p>
    <w:p w14:paraId="53B75FA7" w14:textId="0712799E" w:rsidR="00083718" w:rsidRPr="007A023F" w:rsidRDefault="007A023F" w:rsidP="007A023F">
      <w:pPr>
        <w:pStyle w:val="ListParagraph"/>
        <w:numPr>
          <w:ilvl w:val="0"/>
          <w:numId w:val="33"/>
        </w:numPr>
        <w:tabs>
          <w:tab w:val="left" w:pos="720"/>
          <w:tab w:val="left" w:pos="1440"/>
        </w:tabs>
        <w:rPr>
          <w:sz w:val="22"/>
          <w:szCs w:val="22"/>
        </w:rPr>
      </w:pPr>
      <w:r w:rsidRPr="007A023F">
        <w:rPr>
          <w:sz w:val="22"/>
          <w:szCs w:val="22"/>
        </w:rPr>
        <w:t>The reporting should include all youth treated within the residential program</w:t>
      </w:r>
      <w:r>
        <w:rPr>
          <w:color w:val="FF0000"/>
          <w:sz w:val="22"/>
          <w:szCs w:val="22"/>
        </w:rPr>
        <w:t xml:space="preserve">.  </w:t>
      </w:r>
    </w:p>
    <w:p w14:paraId="47C1383E" w14:textId="195FBB8D" w:rsidR="00083718" w:rsidRPr="00083718" w:rsidRDefault="00083718" w:rsidP="00083718">
      <w:pPr>
        <w:pStyle w:val="ListParagraph"/>
        <w:ind w:left="1080"/>
        <w:rPr>
          <w:sz w:val="22"/>
          <w:szCs w:val="22"/>
        </w:rPr>
      </w:pPr>
    </w:p>
    <w:p w14:paraId="289289FA" w14:textId="0002000A" w:rsidR="005B4AB5" w:rsidRDefault="005769BB" w:rsidP="005769BB">
      <w:pPr>
        <w:ind w:left="720" w:hanging="720"/>
        <w:rPr>
          <w:sz w:val="22"/>
          <w:szCs w:val="22"/>
        </w:rPr>
      </w:pPr>
      <w:r w:rsidRPr="005769BB">
        <w:rPr>
          <w:b/>
          <w:bCs/>
          <w:sz w:val="22"/>
          <w:szCs w:val="22"/>
        </w:rPr>
        <w:t>Q25.</w:t>
      </w:r>
      <w:r>
        <w:rPr>
          <w:sz w:val="22"/>
          <w:szCs w:val="22"/>
        </w:rPr>
        <w:tab/>
      </w:r>
      <w:r w:rsidR="005B4AB5" w:rsidRPr="005B4AB5">
        <w:rPr>
          <w:sz w:val="22"/>
          <w:szCs w:val="22"/>
        </w:rPr>
        <w:t>Page 27, Section 2.0, Subsection A</w:t>
      </w:r>
      <w:r>
        <w:rPr>
          <w:sz w:val="22"/>
          <w:szCs w:val="22"/>
        </w:rPr>
        <w:t>: D</w:t>
      </w:r>
      <w:r w:rsidR="005B4AB5" w:rsidRPr="005B4AB5">
        <w:rPr>
          <w:sz w:val="22"/>
          <w:szCs w:val="22"/>
        </w:rPr>
        <w:t xml:space="preserve">oes the procurement office require a specific type of font (i.e. Arial, Times New Roman, etc.) </w:t>
      </w:r>
      <w:proofErr w:type="gramStart"/>
      <w:r w:rsidR="005B4AB5" w:rsidRPr="005B4AB5">
        <w:rPr>
          <w:sz w:val="22"/>
          <w:szCs w:val="22"/>
        </w:rPr>
        <w:t>as long as</w:t>
      </w:r>
      <w:proofErr w:type="gramEnd"/>
      <w:r w:rsidR="005B4AB5" w:rsidRPr="005B4AB5">
        <w:rPr>
          <w:sz w:val="22"/>
          <w:szCs w:val="22"/>
        </w:rPr>
        <w:t xml:space="preserve"> it meets the size requirement?</w:t>
      </w:r>
    </w:p>
    <w:p w14:paraId="67C82026" w14:textId="03864B92" w:rsidR="005769BB" w:rsidRDefault="005769BB" w:rsidP="005769BB">
      <w:pPr>
        <w:ind w:left="720" w:hanging="720"/>
        <w:rPr>
          <w:sz w:val="22"/>
          <w:szCs w:val="22"/>
        </w:rPr>
      </w:pPr>
    </w:p>
    <w:p w14:paraId="520DC162" w14:textId="7915D820" w:rsidR="005769BB" w:rsidRDefault="003F62A8" w:rsidP="008C7110">
      <w:pPr>
        <w:pStyle w:val="ListParagraph"/>
        <w:numPr>
          <w:ilvl w:val="0"/>
          <w:numId w:val="34"/>
        </w:numPr>
        <w:tabs>
          <w:tab w:val="left" w:pos="1080"/>
        </w:tabs>
        <w:ind w:left="720" w:firstLine="0"/>
        <w:rPr>
          <w:sz w:val="22"/>
          <w:szCs w:val="22"/>
        </w:rPr>
      </w:pPr>
      <w:r>
        <w:rPr>
          <w:sz w:val="22"/>
          <w:szCs w:val="22"/>
        </w:rPr>
        <w:t xml:space="preserve">The style of font is </w:t>
      </w:r>
      <w:r w:rsidR="008C7110">
        <w:rPr>
          <w:sz w:val="22"/>
          <w:szCs w:val="22"/>
        </w:rPr>
        <w:t xml:space="preserve">at </w:t>
      </w:r>
      <w:r>
        <w:rPr>
          <w:sz w:val="22"/>
          <w:szCs w:val="22"/>
        </w:rPr>
        <w:t>Providers’ discretion. However, it must be typed in 12-point font, as outlined in Section 2.0(A) of the RFP.</w:t>
      </w:r>
    </w:p>
    <w:p w14:paraId="6C3BD44F" w14:textId="77777777" w:rsidR="008C7110" w:rsidRPr="00C16EB5" w:rsidRDefault="008C7110" w:rsidP="00C16EB5">
      <w:pPr>
        <w:rPr>
          <w:sz w:val="22"/>
          <w:szCs w:val="22"/>
        </w:rPr>
      </w:pPr>
    </w:p>
    <w:p w14:paraId="18C411FE" w14:textId="1763E29E" w:rsidR="005B4AB5" w:rsidRDefault="008C7110" w:rsidP="008C7110">
      <w:pPr>
        <w:ind w:left="720" w:hanging="720"/>
        <w:rPr>
          <w:sz w:val="22"/>
          <w:szCs w:val="22"/>
        </w:rPr>
      </w:pPr>
      <w:r w:rsidRPr="0060327D">
        <w:rPr>
          <w:b/>
          <w:bCs/>
          <w:sz w:val="22"/>
          <w:szCs w:val="22"/>
        </w:rPr>
        <w:t>Q26.</w:t>
      </w:r>
      <w:r>
        <w:rPr>
          <w:sz w:val="22"/>
          <w:szCs w:val="22"/>
        </w:rPr>
        <w:tab/>
      </w:r>
      <w:r w:rsidR="005B4AB5" w:rsidRPr="005B4AB5">
        <w:rPr>
          <w:sz w:val="22"/>
          <w:szCs w:val="22"/>
        </w:rPr>
        <w:t>Page 29, Section 2.0, Subsection D</w:t>
      </w:r>
      <w:r>
        <w:rPr>
          <w:sz w:val="22"/>
          <w:szCs w:val="22"/>
        </w:rPr>
        <w:t xml:space="preserve">: </w:t>
      </w:r>
      <w:r w:rsidR="005B4AB5" w:rsidRPr="005B4AB5">
        <w:rPr>
          <w:sz w:val="22"/>
          <w:szCs w:val="22"/>
        </w:rPr>
        <w:t>Does ODJFS have required documentation for submission under OAC 5101:9-4-07 for responding for-profit organizations? If so, could that be provided please?</w:t>
      </w:r>
    </w:p>
    <w:p w14:paraId="6DF9964C" w14:textId="1B07C5B7" w:rsidR="0060327D" w:rsidRDefault="0060327D" w:rsidP="008C7110">
      <w:pPr>
        <w:ind w:left="720" w:hanging="720"/>
        <w:rPr>
          <w:sz w:val="22"/>
          <w:szCs w:val="22"/>
        </w:rPr>
      </w:pPr>
    </w:p>
    <w:p w14:paraId="1438CABC" w14:textId="0AAC6DE2" w:rsidR="0060327D" w:rsidRPr="00C16EB5" w:rsidRDefault="003E6FB2" w:rsidP="00543CEE">
      <w:pPr>
        <w:pStyle w:val="ListParagraph"/>
        <w:numPr>
          <w:ilvl w:val="0"/>
          <w:numId w:val="35"/>
        </w:numPr>
        <w:tabs>
          <w:tab w:val="left" w:pos="1080"/>
        </w:tabs>
        <w:ind w:left="720" w:firstLine="0"/>
        <w:rPr>
          <w:sz w:val="22"/>
          <w:szCs w:val="22"/>
        </w:rPr>
      </w:pPr>
      <w:r w:rsidRPr="00C16EB5">
        <w:rPr>
          <w:sz w:val="22"/>
          <w:szCs w:val="22"/>
        </w:rPr>
        <w:t xml:space="preserve">Not sure what </w:t>
      </w:r>
      <w:r w:rsidR="00D5775C" w:rsidRPr="00C16EB5">
        <w:rPr>
          <w:sz w:val="22"/>
          <w:szCs w:val="22"/>
        </w:rPr>
        <w:t xml:space="preserve">information </w:t>
      </w:r>
      <w:r w:rsidRPr="00C16EB5">
        <w:rPr>
          <w:sz w:val="22"/>
          <w:szCs w:val="22"/>
        </w:rPr>
        <w:t xml:space="preserve">the question is </w:t>
      </w:r>
      <w:r w:rsidR="00D5775C" w:rsidRPr="00C16EB5">
        <w:rPr>
          <w:sz w:val="22"/>
          <w:szCs w:val="22"/>
        </w:rPr>
        <w:t>asking for.</w:t>
      </w:r>
      <w:r w:rsidR="00C16EB5" w:rsidRPr="00C16EB5">
        <w:rPr>
          <w:sz w:val="22"/>
          <w:szCs w:val="22"/>
        </w:rPr>
        <w:t xml:space="preserve"> </w:t>
      </w:r>
      <w:r w:rsidR="00D5775C" w:rsidRPr="00C16EB5">
        <w:rPr>
          <w:sz w:val="22"/>
          <w:szCs w:val="22"/>
        </w:rPr>
        <w:t xml:space="preserve">2.0 Subsection D is </w:t>
      </w:r>
      <w:proofErr w:type="gramStart"/>
      <w:r w:rsidR="00D5775C" w:rsidRPr="00C16EB5">
        <w:rPr>
          <w:sz w:val="22"/>
          <w:szCs w:val="22"/>
        </w:rPr>
        <w:t>in reference to</w:t>
      </w:r>
      <w:proofErr w:type="gramEnd"/>
      <w:r w:rsidR="00D5775C" w:rsidRPr="00C16EB5">
        <w:rPr>
          <w:sz w:val="22"/>
          <w:szCs w:val="22"/>
        </w:rPr>
        <w:t xml:space="preserve"> profit as documented on the proposing agency’s </w:t>
      </w:r>
      <w:r w:rsidR="00596EFD" w:rsidRPr="00C16EB5">
        <w:rPr>
          <w:sz w:val="22"/>
          <w:szCs w:val="22"/>
        </w:rPr>
        <w:t>line item budget, and that the profit line is to be negotiated</w:t>
      </w:r>
      <w:r w:rsidR="003D1465" w:rsidRPr="00C16EB5">
        <w:rPr>
          <w:sz w:val="22"/>
          <w:szCs w:val="22"/>
        </w:rPr>
        <w:t xml:space="preserve"> separately from the rates for services.  </w:t>
      </w:r>
    </w:p>
    <w:p w14:paraId="3DD28155" w14:textId="77777777" w:rsidR="0060327D" w:rsidRPr="0060327D" w:rsidRDefault="0060327D" w:rsidP="0060327D">
      <w:pPr>
        <w:pStyle w:val="ListParagraph"/>
        <w:ind w:left="1080"/>
        <w:rPr>
          <w:sz w:val="22"/>
          <w:szCs w:val="22"/>
        </w:rPr>
      </w:pPr>
    </w:p>
    <w:p w14:paraId="34F2EC68" w14:textId="5A83766D" w:rsidR="005B4AB5" w:rsidRDefault="00665365" w:rsidP="00665365">
      <w:pPr>
        <w:ind w:left="720" w:hanging="720"/>
        <w:rPr>
          <w:sz w:val="22"/>
          <w:szCs w:val="22"/>
        </w:rPr>
      </w:pPr>
      <w:r w:rsidRPr="00665365">
        <w:rPr>
          <w:b/>
          <w:bCs/>
          <w:sz w:val="22"/>
          <w:szCs w:val="22"/>
        </w:rPr>
        <w:lastRenderedPageBreak/>
        <w:t>Q2</w:t>
      </w:r>
      <w:r w:rsidR="007A0FBC">
        <w:rPr>
          <w:b/>
          <w:bCs/>
          <w:sz w:val="22"/>
          <w:szCs w:val="22"/>
        </w:rPr>
        <w:t>7</w:t>
      </w:r>
      <w:r w:rsidRPr="00665365">
        <w:rPr>
          <w:b/>
          <w:bCs/>
          <w:sz w:val="22"/>
          <w:szCs w:val="22"/>
        </w:rPr>
        <w:t>.</w:t>
      </w:r>
      <w:r>
        <w:rPr>
          <w:sz w:val="22"/>
          <w:szCs w:val="22"/>
        </w:rPr>
        <w:tab/>
      </w:r>
      <w:r w:rsidR="005B4AB5" w:rsidRPr="005B4AB5">
        <w:rPr>
          <w:sz w:val="22"/>
          <w:szCs w:val="22"/>
        </w:rPr>
        <w:t>Page 45, Section 4.7</w:t>
      </w:r>
      <w:r>
        <w:rPr>
          <w:sz w:val="22"/>
          <w:szCs w:val="22"/>
        </w:rPr>
        <w:t xml:space="preserve">: </w:t>
      </w:r>
      <w:r w:rsidR="005B4AB5" w:rsidRPr="005B4AB5">
        <w:rPr>
          <w:sz w:val="22"/>
          <w:szCs w:val="22"/>
        </w:rPr>
        <w:t>How many awardees does ODJFS expect in response to this RFP?</w:t>
      </w:r>
    </w:p>
    <w:p w14:paraId="7DC957E7" w14:textId="303E4543" w:rsidR="00665365" w:rsidRDefault="00665365" w:rsidP="00665365">
      <w:pPr>
        <w:ind w:left="720" w:hanging="720"/>
        <w:rPr>
          <w:sz w:val="22"/>
          <w:szCs w:val="22"/>
        </w:rPr>
      </w:pPr>
    </w:p>
    <w:p w14:paraId="5FF3D70E" w14:textId="78BA3EBF" w:rsidR="00665365" w:rsidRPr="00E014AE" w:rsidRDefault="00E014AE" w:rsidP="00E014AE">
      <w:pPr>
        <w:pStyle w:val="ListParagraph"/>
        <w:numPr>
          <w:ilvl w:val="0"/>
          <w:numId w:val="36"/>
        </w:numPr>
        <w:tabs>
          <w:tab w:val="left" w:pos="720"/>
          <w:tab w:val="left" w:pos="1440"/>
        </w:tabs>
        <w:rPr>
          <w:sz w:val="22"/>
          <w:szCs w:val="22"/>
        </w:rPr>
      </w:pPr>
      <w:r w:rsidRPr="00E014AE">
        <w:rPr>
          <w:sz w:val="22"/>
          <w:szCs w:val="22"/>
        </w:rPr>
        <w:t>There is not a limit.</w:t>
      </w:r>
      <w:r>
        <w:rPr>
          <w:sz w:val="22"/>
          <w:szCs w:val="22"/>
        </w:rPr>
        <w:t xml:space="preserve"> </w:t>
      </w:r>
      <w:r w:rsidRPr="00E014AE">
        <w:rPr>
          <w:sz w:val="22"/>
          <w:szCs w:val="22"/>
        </w:rPr>
        <w:t xml:space="preserve">It will depend on the number of qualified applications.  </w:t>
      </w:r>
    </w:p>
    <w:p w14:paraId="05FB46B1" w14:textId="77777777" w:rsidR="00665365" w:rsidRPr="005B4AB5" w:rsidRDefault="00665365" w:rsidP="00665365">
      <w:pPr>
        <w:ind w:left="720" w:hanging="720"/>
        <w:rPr>
          <w:sz w:val="22"/>
          <w:szCs w:val="22"/>
        </w:rPr>
      </w:pPr>
    </w:p>
    <w:p w14:paraId="66640EEC" w14:textId="7618100D" w:rsidR="005B4AB5" w:rsidRDefault="00665365" w:rsidP="00665365">
      <w:pPr>
        <w:ind w:left="720" w:hanging="720"/>
        <w:rPr>
          <w:sz w:val="22"/>
          <w:szCs w:val="22"/>
        </w:rPr>
      </w:pPr>
      <w:r w:rsidRPr="004168FD">
        <w:rPr>
          <w:b/>
          <w:bCs/>
          <w:sz w:val="22"/>
          <w:szCs w:val="22"/>
        </w:rPr>
        <w:t>Q2</w:t>
      </w:r>
      <w:r w:rsidR="007A0FBC">
        <w:rPr>
          <w:b/>
          <w:bCs/>
          <w:sz w:val="22"/>
          <w:szCs w:val="22"/>
        </w:rPr>
        <w:t>8</w:t>
      </w:r>
      <w:r>
        <w:rPr>
          <w:sz w:val="22"/>
          <w:szCs w:val="22"/>
        </w:rPr>
        <w:t>.</w:t>
      </w:r>
      <w:r>
        <w:rPr>
          <w:sz w:val="22"/>
          <w:szCs w:val="22"/>
        </w:rPr>
        <w:tab/>
      </w:r>
      <w:r w:rsidR="005B4AB5" w:rsidRPr="005B4AB5">
        <w:rPr>
          <w:sz w:val="22"/>
          <w:szCs w:val="22"/>
        </w:rPr>
        <w:t>Page 5, Section 1.2</w:t>
      </w:r>
      <w:r>
        <w:rPr>
          <w:sz w:val="22"/>
          <w:szCs w:val="22"/>
        </w:rPr>
        <w:t xml:space="preserve">: </w:t>
      </w:r>
      <w:r w:rsidR="005B4AB5" w:rsidRPr="005B4AB5">
        <w:rPr>
          <w:sz w:val="22"/>
          <w:szCs w:val="22"/>
        </w:rPr>
        <w:t>Are out-of-state providers eligible to submit a response to this request (presuming they are licensed and accredited within their local jurisdictions)?</w:t>
      </w:r>
    </w:p>
    <w:p w14:paraId="25155891" w14:textId="3EF38552" w:rsidR="004168FD" w:rsidRDefault="004168FD" w:rsidP="00665365">
      <w:pPr>
        <w:ind w:left="720" w:hanging="720"/>
        <w:rPr>
          <w:sz w:val="22"/>
          <w:szCs w:val="22"/>
        </w:rPr>
      </w:pPr>
    </w:p>
    <w:p w14:paraId="1F4E820B" w14:textId="072DA99F" w:rsidR="004168FD" w:rsidRPr="004168FD" w:rsidRDefault="004168FD" w:rsidP="004168FD">
      <w:pPr>
        <w:pStyle w:val="ListParagraph"/>
        <w:numPr>
          <w:ilvl w:val="0"/>
          <w:numId w:val="37"/>
        </w:numPr>
        <w:rPr>
          <w:sz w:val="22"/>
          <w:szCs w:val="22"/>
        </w:rPr>
      </w:pPr>
      <w:r>
        <w:rPr>
          <w:sz w:val="22"/>
          <w:szCs w:val="22"/>
        </w:rPr>
        <w:t>Yes.</w:t>
      </w:r>
    </w:p>
    <w:p w14:paraId="1AE98500" w14:textId="5CE82571" w:rsidR="005B4AB5" w:rsidRDefault="005B4AB5" w:rsidP="005B4AB5">
      <w:pPr>
        <w:pStyle w:val="ListParagraph"/>
        <w:tabs>
          <w:tab w:val="left" w:pos="720"/>
          <w:tab w:val="left" w:pos="1440"/>
        </w:tabs>
        <w:ind w:left="1080"/>
        <w:rPr>
          <w:sz w:val="22"/>
          <w:szCs w:val="22"/>
        </w:rPr>
      </w:pPr>
    </w:p>
    <w:p w14:paraId="56099508" w14:textId="4D2A8F4E" w:rsidR="00BD06BA" w:rsidRPr="00BD06BA" w:rsidRDefault="00BD06BA" w:rsidP="00BD06BA">
      <w:pPr>
        <w:pStyle w:val="ListParagraph"/>
        <w:ind w:hanging="720"/>
        <w:rPr>
          <w:rFonts w:ascii="Calibri" w:hAnsi="Calibri"/>
        </w:rPr>
      </w:pPr>
      <w:r w:rsidRPr="00BD06BA">
        <w:rPr>
          <w:b/>
          <w:bCs/>
          <w:sz w:val="22"/>
          <w:szCs w:val="22"/>
        </w:rPr>
        <w:t>Q29.</w:t>
      </w:r>
      <w:r>
        <w:rPr>
          <w:sz w:val="22"/>
          <w:szCs w:val="22"/>
        </w:rPr>
        <w:t xml:space="preserve">    </w:t>
      </w:r>
      <w:r w:rsidRPr="00BD06BA">
        <w:rPr>
          <w:sz w:val="22"/>
          <w:szCs w:val="22"/>
        </w:rPr>
        <w:t>Regarding the required outcome data collection – we have not had youth involved with juvenile justice for quite some time</w:t>
      </w:r>
      <w:r w:rsidR="007C3B45">
        <w:rPr>
          <w:sz w:val="22"/>
          <w:szCs w:val="22"/>
        </w:rPr>
        <w:t>,</w:t>
      </w:r>
      <w:r w:rsidRPr="00BD06BA">
        <w:rPr>
          <w:sz w:val="22"/>
          <w:szCs w:val="22"/>
        </w:rPr>
        <w:t xml:space="preserve"> so we anticipate our baseline measure to be zero. If we maintain at the zero level for subsequent measures, will we still be eligible for the $500 incentive payment? We currently operate two residential facilities with plans to open a 3</w:t>
      </w:r>
      <w:r w:rsidRPr="00BD06BA">
        <w:rPr>
          <w:sz w:val="22"/>
          <w:szCs w:val="22"/>
          <w:vertAlign w:val="superscript"/>
        </w:rPr>
        <w:t>rd</w:t>
      </w:r>
      <w:r w:rsidRPr="00BD06BA">
        <w:rPr>
          <w:sz w:val="22"/>
          <w:szCs w:val="22"/>
        </w:rPr>
        <w:t xml:space="preserve"> within the year. If awarded a contract, would Hamilton County JFS consider adding the new facility once opened?</w:t>
      </w:r>
    </w:p>
    <w:p w14:paraId="50F14FB1" w14:textId="72DF4CEB" w:rsidR="00BD06BA" w:rsidRDefault="00BD06BA" w:rsidP="005B4AB5">
      <w:pPr>
        <w:pStyle w:val="ListParagraph"/>
        <w:tabs>
          <w:tab w:val="left" w:pos="720"/>
          <w:tab w:val="left" w:pos="1440"/>
        </w:tabs>
        <w:ind w:left="1080"/>
        <w:rPr>
          <w:sz w:val="22"/>
          <w:szCs w:val="22"/>
        </w:rPr>
      </w:pPr>
    </w:p>
    <w:p w14:paraId="7B96C57C" w14:textId="4810B06F" w:rsidR="00815444" w:rsidRPr="00287379" w:rsidRDefault="004844EB" w:rsidP="00701915">
      <w:pPr>
        <w:pStyle w:val="ListParagraph"/>
        <w:numPr>
          <w:ilvl w:val="0"/>
          <w:numId w:val="38"/>
        </w:numPr>
        <w:tabs>
          <w:tab w:val="left" w:pos="720"/>
          <w:tab w:val="left" w:pos="1080"/>
        </w:tabs>
        <w:ind w:left="720" w:firstLine="0"/>
        <w:rPr>
          <w:sz w:val="22"/>
          <w:szCs w:val="22"/>
        </w:rPr>
      </w:pPr>
      <w:r w:rsidRPr="00F577CD">
        <w:rPr>
          <w:sz w:val="22"/>
          <w:szCs w:val="22"/>
        </w:rPr>
        <w:t>If you maintain at zero, the incentive can be earned.</w:t>
      </w:r>
      <w:r w:rsidRPr="00F577CD">
        <w:rPr>
          <w:b/>
          <w:bCs/>
          <w:sz w:val="22"/>
          <w:szCs w:val="22"/>
        </w:rPr>
        <w:t xml:space="preserve"> </w:t>
      </w:r>
      <w:r w:rsidR="00294492">
        <w:rPr>
          <w:sz w:val="22"/>
          <w:szCs w:val="22"/>
        </w:rPr>
        <w:t>I</w:t>
      </w:r>
      <w:r w:rsidR="00294492" w:rsidRPr="00294492">
        <w:rPr>
          <w:sz w:val="22"/>
          <w:szCs w:val="22"/>
        </w:rPr>
        <w:t>f the proposing agency includes this anticipated new facility in their proposal and all exhibits (i.e., cover sheet, budget, service grid, etc.) we would be able to contract with them when the new facility opens.</w:t>
      </w:r>
      <w:r w:rsidR="00294492">
        <w:t> </w:t>
      </w:r>
    </w:p>
    <w:p w14:paraId="6D6B212D" w14:textId="77777777" w:rsidR="00287379" w:rsidRPr="00D54DCD" w:rsidRDefault="00287379" w:rsidP="00D54DCD">
      <w:pPr>
        <w:tabs>
          <w:tab w:val="left" w:pos="720"/>
          <w:tab w:val="left" w:pos="1080"/>
        </w:tabs>
        <w:rPr>
          <w:color w:val="FF0000"/>
          <w:sz w:val="22"/>
          <w:szCs w:val="22"/>
        </w:rPr>
      </w:pPr>
    </w:p>
    <w:p w14:paraId="4034D533" w14:textId="47CA3CF0" w:rsidR="00287379" w:rsidRDefault="00287379" w:rsidP="00287379">
      <w:pPr>
        <w:pStyle w:val="ListParagraph"/>
        <w:tabs>
          <w:tab w:val="left" w:pos="720"/>
          <w:tab w:val="left" w:pos="1080"/>
        </w:tabs>
        <w:ind w:hanging="720"/>
        <w:rPr>
          <w:sz w:val="22"/>
          <w:szCs w:val="22"/>
        </w:rPr>
      </w:pPr>
      <w:r w:rsidRPr="00287379">
        <w:rPr>
          <w:b/>
          <w:bCs/>
          <w:sz w:val="22"/>
          <w:szCs w:val="22"/>
        </w:rPr>
        <w:t>Q30.</w:t>
      </w:r>
      <w:r w:rsidRPr="00287379">
        <w:rPr>
          <w:sz w:val="22"/>
          <w:szCs w:val="22"/>
        </w:rPr>
        <w:t xml:space="preserve"> </w:t>
      </w:r>
      <w:r>
        <w:rPr>
          <w:sz w:val="22"/>
          <w:szCs w:val="22"/>
        </w:rPr>
        <w:tab/>
      </w:r>
      <w:r w:rsidRPr="00287379">
        <w:rPr>
          <w:sz w:val="22"/>
          <w:szCs w:val="22"/>
        </w:rPr>
        <w:t>Will contract renewals be given for facility’s contracts that expired in January</w:t>
      </w:r>
      <w:r>
        <w:rPr>
          <w:sz w:val="22"/>
          <w:szCs w:val="22"/>
        </w:rPr>
        <w:t>?</w:t>
      </w:r>
    </w:p>
    <w:p w14:paraId="34908DE4" w14:textId="28A04157" w:rsidR="00287379" w:rsidRDefault="00287379" w:rsidP="00287379">
      <w:pPr>
        <w:pStyle w:val="ListParagraph"/>
        <w:tabs>
          <w:tab w:val="left" w:pos="720"/>
          <w:tab w:val="left" w:pos="1080"/>
        </w:tabs>
        <w:ind w:hanging="720"/>
        <w:rPr>
          <w:sz w:val="22"/>
          <w:szCs w:val="22"/>
        </w:rPr>
      </w:pPr>
    </w:p>
    <w:p w14:paraId="02AB32B6" w14:textId="3A991821" w:rsidR="0049017C" w:rsidRPr="00B57136" w:rsidRDefault="007E2828" w:rsidP="00B57136">
      <w:pPr>
        <w:pStyle w:val="ListParagraph"/>
        <w:numPr>
          <w:ilvl w:val="0"/>
          <w:numId w:val="40"/>
        </w:numPr>
        <w:tabs>
          <w:tab w:val="left" w:pos="810"/>
          <w:tab w:val="left" w:pos="1080"/>
        </w:tabs>
        <w:ind w:left="720" w:firstLine="0"/>
        <w:rPr>
          <w:rFonts w:ascii="Calibri" w:hAnsi="Calibri"/>
          <w:sz w:val="22"/>
          <w:szCs w:val="22"/>
        </w:rPr>
      </w:pPr>
      <w:r w:rsidRPr="00B57136">
        <w:rPr>
          <w:sz w:val="22"/>
          <w:szCs w:val="22"/>
        </w:rPr>
        <w:t xml:space="preserve">Single sources are granted renewals and contracts if program decides if there is a need for service. If a Provider wishes to be prioritized over other Providers and be on the same contract cycle as RFP </w:t>
      </w:r>
      <w:r w:rsidR="0049017C" w:rsidRPr="00B57136">
        <w:rPr>
          <w:sz w:val="22"/>
          <w:szCs w:val="22"/>
        </w:rPr>
        <w:t xml:space="preserve">selected </w:t>
      </w:r>
      <w:r w:rsidRPr="00B57136">
        <w:rPr>
          <w:sz w:val="22"/>
          <w:szCs w:val="22"/>
        </w:rPr>
        <w:t>Providers, they must submit a proposal</w:t>
      </w:r>
      <w:r w:rsidR="0049017C" w:rsidRPr="00B57136">
        <w:rPr>
          <w:sz w:val="22"/>
          <w:szCs w:val="22"/>
        </w:rPr>
        <w:t xml:space="preserve"> to this RFP</w:t>
      </w:r>
      <w:r w:rsidRPr="00B57136">
        <w:rPr>
          <w:sz w:val="22"/>
          <w:szCs w:val="22"/>
        </w:rPr>
        <w:t xml:space="preserve">. </w:t>
      </w:r>
      <w:r w:rsidR="0049017C" w:rsidRPr="00B57136">
        <w:rPr>
          <w:sz w:val="22"/>
          <w:szCs w:val="22"/>
        </w:rPr>
        <w:t xml:space="preserve">It is HCJFS’ preference to contract with Providers who have responded to published RFP’s.  </w:t>
      </w:r>
    </w:p>
    <w:p w14:paraId="1290F103" w14:textId="7CC52FEA" w:rsidR="0049017C" w:rsidRPr="0049017C" w:rsidRDefault="0049017C" w:rsidP="00B57136">
      <w:pPr>
        <w:pStyle w:val="ListParagraph"/>
        <w:tabs>
          <w:tab w:val="left" w:pos="1080"/>
        </w:tabs>
        <w:rPr>
          <w:rFonts w:ascii="Calibri" w:hAnsi="Calibri"/>
          <w:sz w:val="22"/>
          <w:szCs w:val="22"/>
        </w:rPr>
      </w:pPr>
    </w:p>
    <w:p w14:paraId="2CBC2FE3" w14:textId="483ACE7D" w:rsidR="00B775A4" w:rsidRDefault="00B775A4" w:rsidP="00B775A4">
      <w:pPr>
        <w:ind w:left="720" w:hanging="720"/>
        <w:rPr>
          <w:sz w:val="22"/>
          <w:szCs w:val="22"/>
        </w:rPr>
      </w:pPr>
      <w:r w:rsidRPr="00B775A4">
        <w:rPr>
          <w:b/>
          <w:bCs/>
          <w:sz w:val="22"/>
          <w:szCs w:val="22"/>
        </w:rPr>
        <w:t>Q31.</w:t>
      </w:r>
      <w:r w:rsidRPr="00B775A4">
        <w:rPr>
          <w:sz w:val="22"/>
          <w:szCs w:val="22"/>
        </w:rPr>
        <w:tab/>
        <w:t>Page 55, Attachment A-1</w:t>
      </w:r>
      <w:r>
        <w:rPr>
          <w:sz w:val="22"/>
          <w:szCs w:val="22"/>
        </w:rPr>
        <w:t xml:space="preserve">. </w:t>
      </w:r>
      <w:r w:rsidRPr="00B775A4">
        <w:rPr>
          <w:sz w:val="22"/>
          <w:szCs w:val="22"/>
        </w:rPr>
        <w:t>The checklist indicates that question A-5 has sections a-h to coincide with it, however page 9 and page 18 do not indicate additional sections, where are these sections located?</w:t>
      </w:r>
    </w:p>
    <w:p w14:paraId="7B4807FA" w14:textId="2D076372" w:rsidR="00B775A4" w:rsidRDefault="00B775A4" w:rsidP="00B775A4">
      <w:pPr>
        <w:rPr>
          <w:b/>
          <w:bCs/>
          <w:sz w:val="22"/>
          <w:szCs w:val="22"/>
        </w:rPr>
      </w:pPr>
      <w:r>
        <w:rPr>
          <w:b/>
          <w:bCs/>
          <w:sz w:val="22"/>
          <w:szCs w:val="22"/>
        </w:rPr>
        <w:tab/>
      </w:r>
    </w:p>
    <w:p w14:paraId="0F7EC537" w14:textId="452A2D26" w:rsidR="00B775A4" w:rsidRPr="00B775A4" w:rsidRDefault="00B775A4" w:rsidP="004B2B11">
      <w:pPr>
        <w:pStyle w:val="ListParagraph"/>
        <w:numPr>
          <w:ilvl w:val="0"/>
          <w:numId w:val="45"/>
        </w:numPr>
        <w:tabs>
          <w:tab w:val="left" w:pos="1080"/>
        </w:tabs>
        <w:ind w:left="720" w:firstLine="0"/>
        <w:rPr>
          <w:sz w:val="22"/>
          <w:szCs w:val="22"/>
        </w:rPr>
      </w:pPr>
      <w:r>
        <w:rPr>
          <w:sz w:val="22"/>
          <w:szCs w:val="22"/>
        </w:rPr>
        <w:t xml:space="preserve">An updated Attachment A-1, Program Component Checklist was included as part of Addendum 4. </w:t>
      </w:r>
    </w:p>
    <w:p w14:paraId="3A013AD4" w14:textId="77777777" w:rsidR="00B775A4" w:rsidRPr="00B775A4" w:rsidRDefault="00B775A4" w:rsidP="00B775A4">
      <w:pPr>
        <w:ind w:left="3600" w:hanging="3600"/>
        <w:rPr>
          <w:sz w:val="22"/>
          <w:szCs w:val="22"/>
        </w:rPr>
      </w:pPr>
    </w:p>
    <w:p w14:paraId="4A85CFBC" w14:textId="33A74AF7" w:rsidR="00B775A4" w:rsidRDefault="00B775A4" w:rsidP="00B775A4">
      <w:pPr>
        <w:ind w:left="720" w:hanging="720"/>
        <w:rPr>
          <w:sz w:val="22"/>
          <w:szCs w:val="22"/>
        </w:rPr>
      </w:pPr>
      <w:r w:rsidRPr="003A5ACD">
        <w:rPr>
          <w:b/>
          <w:bCs/>
          <w:sz w:val="22"/>
          <w:szCs w:val="22"/>
        </w:rPr>
        <w:t>Q32</w:t>
      </w:r>
      <w:r w:rsidRPr="00B775A4">
        <w:rPr>
          <w:sz w:val="22"/>
          <w:szCs w:val="22"/>
        </w:rPr>
        <w:t>.</w:t>
      </w:r>
      <w:r w:rsidRPr="00B775A4">
        <w:rPr>
          <w:sz w:val="22"/>
          <w:szCs w:val="22"/>
        </w:rPr>
        <w:tab/>
        <w:t>Page 62, Article VI, Subsection D</w:t>
      </w:r>
      <w:r w:rsidR="0039680D">
        <w:rPr>
          <w:sz w:val="22"/>
          <w:szCs w:val="22"/>
        </w:rPr>
        <w:t xml:space="preserve">. </w:t>
      </w:r>
      <w:r w:rsidRPr="00B775A4">
        <w:rPr>
          <w:sz w:val="22"/>
          <w:szCs w:val="22"/>
        </w:rPr>
        <w:t>If a child is placed at a contracted out-of-state provider, will worker visits continue to take place face-to-face monthly as outlined in OAC 5101:2-42-65?</w:t>
      </w:r>
    </w:p>
    <w:p w14:paraId="185D4EC9" w14:textId="4EA444BE" w:rsidR="00B775A4" w:rsidRDefault="00B775A4" w:rsidP="00B775A4">
      <w:pPr>
        <w:ind w:left="720" w:hanging="720"/>
        <w:rPr>
          <w:sz w:val="22"/>
          <w:szCs w:val="22"/>
        </w:rPr>
      </w:pPr>
    </w:p>
    <w:p w14:paraId="0EEE110E" w14:textId="1130364D" w:rsidR="00B775A4" w:rsidRPr="00261661" w:rsidRDefault="00261661" w:rsidP="00264C50">
      <w:pPr>
        <w:pStyle w:val="ListParagraph"/>
        <w:numPr>
          <w:ilvl w:val="0"/>
          <w:numId w:val="50"/>
        </w:numPr>
        <w:tabs>
          <w:tab w:val="left" w:pos="1080"/>
        </w:tabs>
        <w:ind w:firstLine="0"/>
        <w:rPr>
          <w:sz w:val="22"/>
          <w:szCs w:val="22"/>
        </w:rPr>
      </w:pPr>
      <w:r w:rsidRPr="00261661">
        <w:rPr>
          <w:sz w:val="22"/>
          <w:szCs w:val="22"/>
        </w:rPr>
        <w:t>If the child is placed a long enough distance away, HCJFS reserves the right to request the Child Protection Agency in the state/county where the child is placed to do courtesy visits. Face-to-face caseworker visits are mandatory.</w:t>
      </w:r>
    </w:p>
    <w:p w14:paraId="7F4ED80C" w14:textId="253C53E8" w:rsidR="00675107" w:rsidRDefault="00675107" w:rsidP="00490CF4">
      <w:pPr>
        <w:rPr>
          <w:sz w:val="22"/>
          <w:szCs w:val="22"/>
        </w:rPr>
      </w:pPr>
    </w:p>
    <w:p w14:paraId="166BAFC5" w14:textId="3C42CCCB" w:rsidR="00490CF4" w:rsidRDefault="00490CF4" w:rsidP="00490CF4">
      <w:pPr>
        <w:rPr>
          <w:sz w:val="22"/>
          <w:szCs w:val="22"/>
        </w:rPr>
      </w:pPr>
    </w:p>
    <w:p w14:paraId="69B7525F" w14:textId="38E0036B" w:rsidR="00490CF4" w:rsidRDefault="00490CF4" w:rsidP="00490CF4">
      <w:pPr>
        <w:rPr>
          <w:sz w:val="22"/>
          <w:szCs w:val="22"/>
        </w:rPr>
      </w:pPr>
    </w:p>
    <w:p w14:paraId="04EFF1D9" w14:textId="041DBA5F" w:rsidR="00490CF4" w:rsidRDefault="00490CF4" w:rsidP="00490CF4">
      <w:pPr>
        <w:rPr>
          <w:sz w:val="22"/>
          <w:szCs w:val="22"/>
        </w:rPr>
      </w:pPr>
    </w:p>
    <w:p w14:paraId="03838C42" w14:textId="68A866DD" w:rsidR="00490CF4" w:rsidRDefault="00490CF4" w:rsidP="00490CF4">
      <w:pPr>
        <w:rPr>
          <w:sz w:val="22"/>
          <w:szCs w:val="22"/>
        </w:rPr>
      </w:pPr>
    </w:p>
    <w:p w14:paraId="1F7F108B" w14:textId="77777777" w:rsidR="00490CF4" w:rsidRPr="00B775A4" w:rsidRDefault="00490CF4" w:rsidP="00490CF4">
      <w:pPr>
        <w:rPr>
          <w:sz w:val="22"/>
          <w:szCs w:val="22"/>
        </w:rPr>
      </w:pPr>
    </w:p>
    <w:p w14:paraId="0A7F48F3" w14:textId="50687721" w:rsidR="00B775A4" w:rsidRDefault="00B775A4" w:rsidP="00B775A4">
      <w:pPr>
        <w:ind w:left="720" w:hanging="720"/>
        <w:rPr>
          <w:sz w:val="22"/>
          <w:szCs w:val="22"/>
        </w:rPr>
      </w:pPr>
      <w:r w:rsidRPr="003A5ACD">
        <w:rPr>
          <w:b/>
          <w:bCs/>
          <w:sz w:val="22"/>
          <w:szCs w:val="22"/>
        </w:rPr>
        <w:t>Q33</w:t>
      </w:r>
      <w:r w:rsidRPr="00B775A4">
        <w:rPr>
          <w:sz w:val="22"/>
          <w:szCs w:val="22"/>
        </w:rPr>
        <w:t>.</w:t>
      </w:r>
      <w:r w:rsidRPr="00B775A4">
        <w:rPr>
          <w:sz w:val="22"/>
          <w:szCs w:val="22"/>
        </w:rPr>
        <w:tab/>
        <w:t>Page 63, Article VIII, Subsection B</w:t>
      </w:r>
      <w:r w:rsidR="0039680D">
        <w:rPr>
          <w:sz w:val="22"/>
          <w:szCs w:val="22"/>
        </w:rPr>
        <w:t xml:space="preserve">. </w:t>
      </w:r>
      <w:r w:rsidRPr="00B775A4">
        <w:rPr>
          <w:sz w:val="22"/>
          <w:szCs w:val="22"/>
        </w:rPr>
        <w:t>Can the Agency please confirm the minimum daily per diem rate for staff-secure residential treatment services?</w:t>
      </w:r>
    </w:p>
    <w:p w14:paraId="030FC4DF" w14:textId="0F00489A" w:rsidR="00B775A4" w:rsidRDefault="00B775A4" w:rsidP="00B775A4">
      <w:pPr>
        <w:ind w:left="720" w:hanging="720"/>
        <w:rPr>
          <w:sz w:val="22"/>
          <w:szCs w:val="22"/>
        </w:rPr>
      </w:pPr>
    </w:p>
    <w:p w14:paraId="18EDE828" w14:textId="1C621D17" w:rsidR="00B775A4" w:rsidRPr="000D5C73" w:rsidRDefault="00265A13" w:rsidP="000D5C73">
      <w:pPr>
        <w:pStyle w:val="ListParagraph"/>
        <w:numPr>
          <w:ilvl w:val="0"/>
          <w:numId w:val="47"/>
        </w:numPr>
        <w:tabs>
          <w:tab w:val="left" w:pos="1080"/>
        </w:tabs>
        <w:ind w:left="720" w:firstLine="0"/>
        <w:rPr>
          <w:sz w:val="22"/>
          <w:szCs w:val="22"/>
        </w:rPr>
      </w:pPr>
      <w:r w:rsidRPr="000D5C73">
        <w:rPr>
          <w:sz w:val="22"/>
          <w:szCs w:val="22"/>
        </w:rPr>
        <w:t xml:space="preserve">HCJFS </w:t>
      </w:r>
      <w:r w:rsidR="00312B31" w:rsidRPr="000D5C73">
        <w:rPr>
          <w:sz w:val="22"/>
          <w:szCs w:val="22"/>
        </w:rPr>
        <w:t>has not set a minimum daily per diem rate</w:t>
      </w:r>
      <w:r w:rsidR="00A32919" w:rsidRPr="000D5C73">
        <w:rPr>
          <w:sz w:val="22"/>
          <w:szCs w:val="22"/>
        </w:rPr>
        <w:t>. Please reference Q</w:t>
      </w:r>
      <w:r w:rsidR="0074750A" w:rsidRPr="000D5C73">
        <w:rPr>
          <w:sz w:val="22"/>
          <w:szCs w:val="22"/>
        </w:rPr>
        <w:t xml:space="preserve">7 above for information as to how rates are set. </w:t>
      </w:r>
      <w:r w:rsidR="006D0CA1" w:rsidRPr="000D5C73">
        <w:rPr>
          <w:sz w:val="22"/>
          <w:szCs w:val="22"/>
        </w:rPr>
        <w:t>Based upon your</w:t>
      </w:r>
      <w:r w:rsidR="00C01A80" w:rsidRPr="000D5C73">
        <w:rPr>
          <w:sz w:val="22"/>
          <w:szCs w:val="22"/>
        </w:rPr>
        <w:t xml:space="preserve"> budget and ODJFS set ceiling rates, </w:t>
      </w:r>
      <w:r w:rsidR="002D76B6" w:rsidRPr="000D5C73">
        <w:rPr>
          <w:sz w:val="22"/>
          <w:szCs w:val="22"/>
        </w:rPr>
        <w:t xml:space="preserve">if your proposal is </w:t>
      </w:r>
      <w:r w:rsidR="006F0C96" w:rsidRPr="000D5C73">
        <w:rPr>
          <w:sz w:val="22"/>
          <w:szCs w:val="22"/>
        </w:rPr>
        <w:t xml:space="preserve">evaluated and selected for a potential contract with Hamilton County, </w:t>
      </w:r>
      <w:r w:rsidR="00C01A80" w:rsidRPr="000D5C73">
        <w:rPr>
          <w:sz w:val="22"/>
          <w:szCs w:val="22"/>
        </w:rPr>
        <w:t xml:space="preserve">HCJFS will negotiate </w:t>
      </w:r>
      <w:r w:rsidR="006F0C96" w:rsidRPr="000D5C73">
        <w:rPr>
          <w:sz w:val="22"/>
          <w:szCs w:val="22"/>
        </w:rPr>
        <w:t>rates</w:t>
      </w:r>
      <w:r w:rsidR="00E64BBC" w:rsidRPr="000D5C73">
        <w:rPr>
          <w:sz w:val="22"/>
          <w:szCs w:val="22"/>
        </w:rPr>
        <w:t xml:space="preserve"> </w:t>
      </w:r>
      <w:r w:rsidR="00C01A80" w:rsidRPr="000D5C73">
        <w:rPr>
          <w:sz w:val="22"/>
          <w:szCs w:val="22"/>
        </w:rPr>
        <w:t>with your organization</w:t>
      </w:r>
      <w:r w:rsidR="000E5893" w:rsidRPr="000D5C73">
        <w:rPr>
          <w:sz w:val="22"/>
          <w:szCs w:val="22"/>
        </w:rPr>
        <w:t>.</w:t>
      </w:r>
    </w:p>
    <w:p w14:paraId="2257A39D" w14:textId="77777777" w:rsidR="00B775A4" w:rsidRPr="00B775A4" w:rsidRDefault="00B775A4" w:rsidP="00B775A4">
      <w:pPr>
        <w:ind w:left="3600" w:hanging="3600"/>
        <w:rPr>
          <w:sz w:val="22"/>
          <w:szCs w:val="22"/>
        </w:rPr>
      </w:pPr>
    </w:p>
    <w:p w14:paraId="501E4A19" w14:textId="7DFE8441" w:rsidR="00B775A4" w:rsidRDefault="00B775A4" w:rsidP="00B775A4">
      <w:pPr>
        <w:ind w:left="720" w:hanging="720"/>
        <w:rPr>
          <w:sz w:val="22"/>
          <w:szCs w:val="22"/>
        </w:rPr>
      </w:pPr>
      <w:r w:rsidRPr="003A5ACD">
        <w:rPr>
          <w:b/>
          <w:bCs/>
          <w:sz w:val="22"/>
          <w:szCs w:val="22"/>
        </w:rPr>
        <w:t>Q34</w:t>
      </w:r>
      <w:r w:rsidRPr="00B775A4">
        <w:rPr>
          <w:sz w:val="22"/>
          <w:szCs w:val="22"/>
        </w:rPr>
        <w:t>.</w:t>
      </w:r>
      <w:r w:rsidRPr="00B775A4">
        <w:rPr>
          <w:sz w:val="22"/>
          <w:szCs w:val="22"/>
        </w:rPr>
        <w:tab/>
        <w:t>Page 64, Article VIII, Subsection F</w:t>
      </w:r>
      <w:r w:rsidR="0039680D">
        <w:rPr>
          <w:sz w:val="22"/>
          <w:szCs w:val="22"/>
        </w:rPr>
        <w:t xml:space="preserve">, </w:t>
      </w:r>
      <w:r w:rsidRPr="00B775A4">
        <w:rPr>
          <w:sz w:val="22"/>
          <w:szCs w:val="22"/>
        </w:rPr>
        <w:t>If an out-of-state provider is awarded a contract and a child is placed, is the provider able to complete an application for the local Medicaid entity to improve youth's access to medical care or other Medicaid-billable services?</w:t>
      </w:r>
    </w:p>
    <w:p w14:paraId="517704BC" w14:textId="5DFD908A" w:rsidR="00B775A4" w:rsidRDefault="00B775A4" w:rsidP="00B775A4">
      <w:pPr>
        <w:ind w:left="720" w:hanging="720"/>
        <w:rPr>
          <w:sz w:val="22"/>
          <w:szCs w:val="22"/>
        </w:rPr>
      </w:pPr>
    </w:p>
    <w:p w14:paraId="639EDBB7" w14:textId="6862CC9A" w:rsidR="00B775A4" w:rsidRPr="00B775A4" w:rsidRDefault="00D917A2" w:rsidP="00753C99">
      <w:pPr>
        <w:pStyle w:val="ListParagraph"/>
        <w:numPr>
          <w:ilvl w:val="0"/>
          <w:numId w:val="48"/>
        </w:numPr>
        <w:tabs>
          <w:tab w:val="left" w:pos="1080"/>
        </w:tabs>
        <w:ind w:left="720" w:firstLine="0"/>
        <w:rPr>
          <w:sz w:val="22"/>
          <w:szCs w:val="22"/>
        </w:rPr>
      </w:pPr>
      <w:r w:rsidRPr="00753C99">
        <w:rPr>
          <w:sz w:val="22"/>
          <w:szCs w:val="22"/>
        </w:rPr>
        <w:t>Ohio Medicaid is state administered</w:t>
      </w:r>
      <w:r w:rsidR="00945A04" w:rsidRPr="00753C99">
        <w:rPr>
          <w:sz w:val="22"/>
          <w:szCs w:val="22"/>
        </w:rPr>
        <w:t xml:space="preserve"> and Behavioral Health is delivered through </w:t>
      </w:r>
      <w:r w:rsidR="000B26BC" w:rsidRPr="00753C99">
        <w:rPr>
          <w:sz w:val="22"/>
          <w:szCs w:val="22"/>
        </w:rPr>
        <w:t xml:space="preserve">State selected HMOs. You will need to develop a contract with </w:t>
      </w:r>
      <w:r w:rsidR="001E657A" w:rsidRPr="00753C99">
        <w:rPr>
          <w:sz w:val="22"/>
          <w:szCs w:val="22"/>
        </w:rPr>
        <w:t xml:space="preserve">Ohio Medicaid and then develop contracts with HMO’s to deliver </w:t>
      </w:r>
      <w:r w:rsidR="00D97DB0" w:rsidRPr="00753C99">
        <w:rPr>
          <w:sz w:val="22"/>
          <w:szCs w:val="22"/>
        </w:rPr>
        <w:t>Medicaid reimbursable services in Ohio</w:t>
      </w:r>
      <w:r w:rsidR="00D97DB0">
        <w:rPr>
          <w:color w:val="FF0000"/>
          <w:sz w:val="22"/>
          <w:szCs w:val="22"/>
        </w:rPr>
        <w:t xml:space="preserve">.  </w:t>
      </w:r>
    </w:p>
    <w:p w14:paraId="75EDD1FD" w14:textId="77777777" w:rsidR="00B775A4" w:rsidRPr="00B775A4" w:rsidRDefault="00B775A4" w:rsidP="00B775A4">
      <w:pPr>
        <w:rPr>
          <w:sz w:val="22"/>
          <w:szCs w:val="22"/>
        </w:rPr>
      </w:pPr>
    </w:p>
    <w:p w14:paraId="350D8749" w14:textId="3A85FDDA" w:rsidR="00B775A4" w:rsidRDefault="00B775A4" w:rsidP="00D94A90">
      <w:pPr>
        <w:ind w:left="720" w:hanging="720"/>
        <w:rPr>
          <w:sz w:val="22"/>
          <w:szCs w:val="22"/>
        </w:rPr>
      </w:pPr>
      <w:r w:rsidRPr="003A5ACD">
        <w:rPr>
          <w:b/>
          <w:bCs/>
          <w:sz w:val="22"/>
          <w:szCs w:val="22"/>
        </w:rPr>
        <w:t>Q35</w:t>
      </w:r>
      <w:r w:rsidRPr="00B775A4">
        <w:rPr>
          <w:sz w:val="22"/>
          <w:szCs w:val="22"/>
        </w:rPr>
        <w:t>.</w:t>
      </w:r>
      <w:r w:rsidRPr="00B775A4">
        <w:rPr>
          <w:sz w:val="22"/>
          <w:szCs w:val="22"/>
        </w:rPr>
        <w:tab/>
        <w:t>Page 68, Article XIII, Subsection F</w:t>
      </w:r>
      <w:r w:rsidR="0039680D">
        <w:rPr>
          <w:sz w:val="22"/>
          <w:szCs w:val="22"/>
        </w:rPr>
        <w:t xml:space="preserve">. </w:t>
      </w:r>
      <w:r w:rsidRPr="00B775A4">
        <w:rPr>
          <w:sz w:val="22"/>
          <w:szCs w:val="22"/>
        </w:rPr>
        <w:t>What is the number of student days that would require us to complete a cost report and AUP?</w:t>
      </w:r>
    </w:p>
    <w:p w14:paraId="0529A8D9" w14:textId="2A3F3465" w:rsidR="00B775A4" w:rsidRDefault="00B775A4" w:rsidP="00B775A4">
      <w:pPr>
        <w:rPr>
          <w:sz w:val="22"/>
          <w:szCs w:val="22"/>
        </w:rPr>
      </w:pPr>
    </w:p>
    <w:p w14:paraId="55C9DCEF" w14:textId="16323488" w:rsidR="00B775A4" w:rsidRPr="00B775A4" w:rsidRDefault="00CD6039" w:rsidP="00E94DFE">
      <w:pPr>
        <w:pStyle w:val="ListParagraph"/>
        <w:numPr>
          <w:ilvl w:val="0"/>
          <w:numId w:val="49"/>
        </w:numPr>
        <w:tabs>
          <w:tab w:val="left" w:pos="1080"/>
        </w:tabs>
        <w:ind w:left="720" w:firstLine="0"/>
        <w:rPr>
          <w:sz w:val="22"/>
          <w:szCs w:val="22"/>
        </w:rPr>
      </w:pPr>
      <w:r w:rsidRPr="00CD6039">
        <w:rPr>
          <w:sz w:val="22"/>
          <w:szCs w:val="22"/>
        </w:rPr>
        <w:t xml:space="preserve">Not sure what student days are referring to with this question. Please refer to Q7. Additionally, IV-E </w:t>
      </w:r>
      <w:proofErr w:type="spellStart"/>
      <w:r w:rsidRPr="00CD6039">
        <w:rPr>
          <w:sz w:val="22"/>
          <w:szCs w:val="22"/>
        </w:rPr>
        <w:t>reimbursability</w:t>
      </w:r>
      <w:proofErr w:type="spellEnd"/>
      <w:r w:rsidRPr="00CD6039">
        <w:rPr>
          <w:sz w:val="22"/>
          <w:szCs w:val="22"/>
        </w:rPr>
        <w:t xml:space="preserve"> starts with the first date of placement for children if they are IV-E eligible and are in an IV-E reimbursable placement setting that are contemplated to last at least 30 days. For instance, an Emergency setting (i.e., shelter care) would not be reimbursable.</w:t>
      </w:r>
      <w:r w:rsidRPr="00CD6039">
        <w:t> </w:t>
      </w:r>
    </w:p>
    <w:p w14:paraId="49446A1D" w14:textId="77777777" w:rsidR="0049017C" w:rsidRPr="0049017C" w:rsidRDefault="0049017C" w:rsidP="0049017C">
      <w:pPr>
        <w:pStyle w:val="ListParagraph"/>
        <w:tabs>
          <w:tab w:val="left" w:pos="1080"/>
        </w:tabs>
        <w:rPr>
          <w:rFonts w:ascii="Calibri" w:hAnsi="Calibri"/>
          <w:sz w:val="22"/>
          <w:szCs w:val="22"/>
        </w:rPr>
      </w:pPr>
    </w:p>
    <w:p w14:paraId="26F77475" w14:textId="4ED8ED2F" w:rsidR="00287379" w:rsidRPr="007E2828" w:rsidRDefault="00287379" w:rsidP="007E2828">
      <w:pPr>
        <w:tabs>
          <w:tab w:val="left" w:pos="720"/>
          <w:tab w:val="left" w:pos="1080"/>
        </w:tabs>
        <w:ind w:left="720"/>
        <w:rPr>
          <w:sz w:val="22"/>
          <w:szCs w:val="22"/>
        </w:rPr>
      </w:pPr>
    </w:p>
    <w:sectPr w:rsidR="00287379" w:rsidRPr="007E2828"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E324" w14:textId="77777777" w:rsidR="00A21F9C" w:rsidRDefault="00A21F9C">
      <w:r>
        <w:separator/>
      </w:r>
    </w:p>
  </w:endnote>
  <w:endnote w:type="continuationSeparator" w:id="0">
    <w:p w14:paraId="712A5F24" w14:textId="77777777" w:rsidR="00A21F9C" w:rsidRDefault="00A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F869"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9776" behindDoc="0" locked="0" layoutInCell="1" allowOverlap="1" wp14:anchorId="31B6F6F8" wp14:editId="532D592A">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2CFEC86F"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455C2091" w14:textId="77777777" w:rsidR="00EA2D51" w:rsidRDefault="00EA2D51" w:rsidP="00EA2D51">
    <w:pPr>
      <w:pStyle w:val="Footer"/>
    </w:pPr>
  </w:p>
  <w:p w14:paraId="7A5A3722"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B6C3"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7728" behindDoc="0" locked="0" layoutInCell="1" allowOverlap="1" wp14:anchorId="0DC28EA1" wp14:editId="7BE67F51">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F353939"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57E10623"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0CA8" w14:textId="77777777" w:rsidR="00A21F9C" w:rsidRDefault="00A21F9C">
      <w:r>
        <w:separator/>
      </w:r>
    </w:p>
  </w:footnote>
  <w:footnote w:type="continuationSeparator" w:id="0">
    <w:p w14:paraId="0B0882D4" w14:textId="77777777" w:rsidR="00A21F9C" w:rsidRDefault="00A2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F63"/>
    <w:multiLevelType w:val="hybridMultilevel"/>
    <w:tmpl w:val="ABD82F02"/>
    <w:lvl w:ilvl="0" w:tplc="CEC6167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33D6"/>
    <w:multiLevelType w:val="hybridMultilevel"/>
    <w:tmpl w:val="A04E61DE"/>
    <w:lvl w:ilvl="0" w:tplc="E34EA526">
      <w:start w:val="1"/>
      <w:numFmt w:val="upp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368B0"/>
    <w:multiLevelType w:val="hybridMultilevel"/>
    <w:tmpl w:val="3636433E"/>
    <w:lvl w:ilvl="0" w:tplc="2A6269EA">
      <w:start w:val="1"/>
      <w:numFmt w:val="upperLetter"/>
      <w:lvlText w:val="%1."/>
      <w:lvlJc w:val="left"/>
      <w:pPr>
        <w:ind w:left="1080" w:hanging="360"/>
      </w:pPr>
      <w:rPr>
        <w:rFonts w:ascii="Arial" w:hAnsi="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C28D8"/>
    <w:multiLevelType w:val="hybridMultilevel"/>
    <w:tmpl w:val="34F03F74"/>
    <w:lvl w:ilvl="0" w:tplc="A4B2BBB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AA19D1"/>
    <w:multiLevelType w:val="hybridMultilevel"/>
    <w:tmpl w:val="EE388D1C"/>
    <w:lvl w:ilvl="0" w:tplc="0FD8446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43F0C"/>
    <w:multiLevelType w:val="multilevel"/>
    <w:tmpl w:val="C812FB8E"/>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21212A"/>
    <w:multiLevelType w:val="hybridMultilevel"/>
    <w:tmpl w:val="BFB2B350"/>
    <w:lvl w:ilvl="0" w:tplc="9376817E">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EE0CD4"/>
    <w:multiLevelType w:val="multilevel"/>
    <w:tmpl w:val="AF828482"/>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C403EC"/>
    <w:multiLevelType w:val="hybridMultilevel"/>
    <w:tmpl w:val="1FC654BE"/>
    <w:lvl w:ilvl="0" w:tplc="77A454B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C3B68"/>
    <w:multiLevelType w:val="hybridMultilevel"/>
    <w:tmpl w:val="763EA578"/>
    <w:lvl w:ilvl="0" w:tplc="9E60427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D6C1C"/>
    <w:multiLevelType w:val="multilevel"/>
    <w:tmpl w:val="69C63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3A112D"/>
    <w:multiLevelType w:val="hybridMultilevel"/>
    <w:tmpl w:val="7604DB7C"/>
    <w:lvl w:ilvl="0" w:tplc="E572D11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91D1D"/>
    <w:multiLevelType w:val="hybridMultilevel"/>
    <w:tmpl w:val="BC72DA44"/>
    <w:lvl w:ilvl="0" w:tplc="E99A503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46349D"/>
    <w:multiLevelType w:val="hybridMultilevel"/>
    <w:tmpl w:val="2BC69BEC"/>
    <w:lvl w:ilvl="0" w:tplc="EFCAA66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A5129"/>
    <w:multiLevelType w:val="hybridMultilevel"/>
    <w:tmpl w:val="F836E368"/>
    <w:lvl w:ilvl="0" w:tplc="C13E171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76075"/>
    <w:multiLevelType w:val="hybridMultilevel"/>
    <w:tmpl w:val="609E158A"/>
    <w:lvl w:ilvl="0" w:tplc="D39EFB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549A1"/>
    <w:multiLevelType w:val="hybridMultilevel"/>
    <w:tmpl w:val="BDCCCB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E66D9C"/>
    <w:multiLevelType w:val="hybridMultilevel"/>
    <w:tmpl w:val="FD2C4F72"/>
    <w:lvl w:ilvl="0" w:tplc="49E423D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804B5"/>
    <w:multiLevelType w:val="hybridMultilevel"/>
    <w:tmpl w:val="086096FE"/>
    <w:lvl w:ilvl="0" w:tplc="22D81F20">
      <w:start w:val="1"/>
      <w:numFmt w:val="upp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A481E"/>
    <w:multiLevelType w:val="hybridMultilevel"/>
    <w:tmpl w:val="24A8AC42"/>
    <w:lvl w:ilvl="0" w:tplc="14F0B3B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312A9"/>
    <w:multiLevelType w:val="multilevel"/>
    <w:tmpl w:val="413C21D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831295"/>
    <w:multiLevelType w:val="hybridMultilevel"/>
    <w:tmpl w:val="6DD2A38C"/>
    <w:lvl w:ilvl="0" w:tplc="B9F6BF8E">
      <w:start w:val="1"/>
      <w:numFmt w:val="upp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3D500F2"/>
    <w:multiLevelType w:val="hybridMultilevel"/>
    <w:tmpl w:val="FC4CA4A0"/>
    <w:lvl w:ilvl="0" w:tplc="3B28C1D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4E15C8"/>
    <w:multiLevelType w:val="hybridMultilevel"/>
    <w:tmpl w:val="2D706CFA"/>
    <w:lvl w:ilvl="0" w:tplc="447CBAE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5415A5"/>
    <w:multiLevelType w:val="hybridMultilevel"/>
    <w:tmpl w:val="C740635A"/>
    <w:lvl w:ilvl="0" w:tplc="C91A6B9E">
      <w:start w:val="1"/>
      <w:numFmt w:val="upperLetter"/>
      <w:lvlText w:val="%1."/>
      <w:lvlJc w:val="left"/>
      <w:pPr>
        <w:ind w:left="1080" w:hanging="360"/>
      </w:pPr>
      <w:rPr>
        <w:rFonts w:ascii="Arial" w:hAnsi="Arial" w:cs="Arial"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DC212E"/>
    <w:multiLevelType w:val="hybridMultilevel"/>
    <w:tmpl w:val="444ED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1135E"/>
    <w:multiLevelType w:val="multilevel"/>
    <w:tmpl w:val="65D2C73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2432E3"/>
    <w:multiLevelType w:val="hybridMultilevel"/>
    <w:tmpl w:val="77D6D0FA"/>
    <w:lvl w:ilvl="0" w:tplc="B5064EF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9A56C1"/>
    <w:multiLevelType w:val="multilevel"/>
    <w:tmpl w:val="D2B4CBEE"/>
    <w:lvl w:ilvl="0">
      <w:start w:val="1"/>
      <w:numFmt w:val="upperLetter"/>
      <w:lvlText w:val="%1."/>
      <w:lvlJc w:val="left"/>
      <w:pPr>
        <w:tabs>
          <w:tab w:val="num" w:pos="720"/>
        </w:tabs>
        <w:ind w:left="720" w:hanging="360"/>
      </w:pPr>
      <w:rPr>
        <w:rFonts w:ascii="Arial" w:eastAsia="Times New Roman" w:hAnsi="Arial"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22361AD"/>
    <w:multiLevelType w:val="hybridMultilevel"/>
    <w:tmpl w:val="F25072BA"/>
    <w:lvl w:ilvl="0" w:tplc="1ACC5D26">
      <w:start w:val="1"/>
      <w:numFmt w:val="upp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E4068F"/>
    <w:multiLevelType w:val="multilevel"/>
    <w:tmpl w:val="B29EF70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F00D53"/>
    <w:multiLevelType w:val="hybridMultilevel"/>
    <w:tmpl w:val="D458BB4E"/>
    <w:lvl w:ilvl="0" w:tplc="3BD24676">
      <w:start w:val="1"/>
      <w:numFmt w:val="upperLetter"/>
      <w:lvlText w:val="%1."/>
      <w:lvlJc w:val="left"/>
      <w:pPr>
        <w:ind w:left="1080" w:hanging="360"/>
      </w:pPr>
      <w:rPr>
        <w:rFonts w:ascii="Arial" w:hAnsi="Arial" w:cs="Arial"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40021F"/>
    <w:multiLevelType w:val="hybridMultilevel"/>
    <w:tmpl w:val="09A42B88"/>
    <w:lvl w:ilvl="0" w:tplc="7548C2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B6C50"/>
    <w:multiLevelType w:val="hybridMultilevel"/>
    <w:tmpl w:val="9F1EC508"/>
    <w:lvl w:ilvl="0" w:tplc="6BEE0B3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C03044"/>
    <w:multiLevelType w:val="hybridMultilevel"/>
    <w:tmpl w:val="C204B01C"/>
    <w:lvl w:ilvl="0" w:tplc="C76C2142">
      <w:start w:val="1"/>
      <w:numFmt w:val="upperLetter"/>
      <w:lvlText w:val="%1."/>
      <w:lvlJc w:val="left"/>
      <w:pPr>
        <w:ind w:left="1440" w:hanging="360"/>
      </w:pPr>
      <w:rPr>
        <w:rFonts w:ascii="Arial" w:hAnsi="Arial" w:cs="Arial"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51131"/>
    <w:multiLevelType w:val="hybridMultilevel"/>
    <w:tmpl w:val="F5623A0C"/>
    <w:lvl w:ilvl="0" w:tplc="4314D120">
      <w:start w:val="1"/>
      <w:numFmt w:val="upperLetter"/>
      <w:lvlText w:val="%1."/>
      <w:lvlJc w:val="left"/>
      <w:pPr>
        <w:ind w:left="1800" w:hanging="360"/>
      </w:pPr>
      <w:rPr>
        <w:rFonts w:cs="Arial"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B71E97"/>
    <w:multiLevelType w:val="hybridMultilevel"/>
    <w:tmpl w:val="9EB2C306"/>
    <w:lvl w:ilvl="0" w:tplc="4EBE1E6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25339A"/>
    <w:multiLevelType w:val="multilevel"/>
    <w:tmpl w:val="A02AF8A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926990"/>
    <w:multiLevelType w:val="hybridMultilevel"/>
    <w:tmpl w:val="5614D894"/>
    <w:lvl w:ilvl="0" w:tplc="2B523FF8">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3A0B23"/>
    <w:multiLevelType w:val="multilevel"/>
    <w:tmpl w:val="B97437B4"/>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0E22EE"/>
    <w:multiLevelType w:val="hybridMultilevel"/>
    <w:tmpl w:val="0A42EA3E"/>
    <w:lvl w:ilvl="0" w:tplc="ECAAB470">
      <w:start w:val="1"/>
      <w:numFmt w:val="upperLetter"/>
      <w:lvlText w:val="%1."/>
      <w:lvlJc w:val="left"/>
      <w:pPr>
        <w:ind w:left="1080" w:hanging="360"/>
      </w:pPr>
      <w:rPr>
        <w:rFonts w:ascii="Arial" w:hAnsi="Arial" w:cs="Arial" w:hint="default"/>
        <w:b/>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6536D2"/>
    <w:multiLevelType w:val="hybridMultilevel"/>
    <w:tmpl w:val="A55E8B80"/>
    <w:lvl w:ilvl="0" w:tplc="504C079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3A252B"/>
    <w:multiLevelType w:val="hybridMultilevel"/>
    <w:tmpl w:val="14905E04"/>
    <w:lvl w:ilvl="0" w:tplc="1256BA48">
      <w:start w:val="1"/>
      <w:numFmt w:val="upperLetter"/>
      <w:lvlText w:val="%1."/>
      <w:lvlJc w:val="left"/>
      <w:pPr>
        <w:ind w:left="1080" w:hanging="360"/>
      </w:pPr>
      <w:rPr>
        <w:rFonts w:ascii="Arial" w:eastAsia="Times New Roman" w:hAnsi="Arial"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694FAC"/>
    <w:multiLevelType w:val="hybridMultilevel"/>
    <w:tmpl w:val="8CCA95D2"/>
    <w:lvl w:ilvl="0" w:tplc="208E5C9E">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466DF0"/>
    <w:multiLevelType w:val="hybridMultilevel"/>
    <w:tmpl w:val="B150F564"/>
    <w:lvl w:ilvl="0" w:tplc="A1E67300">
      <w:start w:val="1"/>
      <w:numFmt w:val="upperLetter"/>
      <w:lvlText w:val="%1."/>
      <w:lvlJc w:val="left"/>
      <w:pPr>
        <w:ind w:left="1080" w:hanging="360"/>
      </w:pPr>
      <w:rPr>
        <w:rFonts w:eastAsiaTheme="majorEastAsia"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FB0412"/>
    <w:multiLevelType w:val="hybridMultilevel"/>
    <w:tmpl w:val="0764D0B6"/>
    <w:lvl w:ilvl="0" w:tplc="5BE284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A75D22"/>
    <w:multiLevelType w:val="hybridMultilevel"/>
    <w:tmpl w:val="2B7E093C"/>
    <w:lvl w:ilvl="0" w:tplc="C2B8C9EC">
      <w:start w:val="1"/>
      <w:numFmt w:val="upperLetter"/>
      <w:lvlText w:val="%1."/>
      <w:lvlJc w:val="left"/>
      <w:pPr>
        <w:ind w:left="1080" w:hanging="360"/>
      </w:pPr>
      <w:rPr>
        <w:rFonts w:ascii="Arial" w:hAnsi="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932157"/>
    <w:multiLevelType w:val="hybridMultilevel"/>
    <w:tmpl w:val="25FCAB04"/>
    <w:lvl w:ilvl="0" w:tplc="25383DE6">
      <w:start w:val="1"/>
      <w:numFmt w:val="upp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E27E98"/>
    <w:multiLevelType w:val="hybridMultilevel"/>
    <w:tmpl w:val="222069E6"/>
    <w:lvl w:ilvl="0" w:tplc="35C41D7C">
      <w:start w:val="1"/>
      <w:numFmt w:val="upperLetter"/>
      <w:lvlText w:val="%1."/>
      <w:lvlJc w:val="left"/>
      <w:pPr>
        <w:ind w:left="1080" w:hanging="360"/>
      </w:pPr>
      <w:rPr>
        <w:rFonts w:ascii="Arial" w:hAnsi="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CF2FD8"/>
    <w:multiLevelType w:val="hybridMultilevel"/>
    <w:tmpl w:val="BD00399C"/>
    <w:lvl w:ilvl="0" w:tplc="65B2E06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0"/>
  </w:num>
  <w:num w:numId="5">
    <w:abstractNumId w:val="16"/>
  </w:num>
  <w:num w:numId="6">
    <w:abstractNumId w:val="31"/>
  </w:num>
  <w:num w:numId="7">
    <w:abstractNumId w:val="47"/>
  </w:num>
  <w:num w:numId="8">
    <w:abstractNumId w:val="34"/>
  </w:num>
  <w:num w:numId="9">
    <w:abstractNumId w:val="13"/>
  </w:num>
  <w:num w:numId="10">
    <w:abstractNumId w:val="1"/>
  </w:num>
  <w:num w:numId="11">
    <w:abstractNumId w:val="21"/>
  </w:num>
  <w:num w:numId="12">
    <w:abstractNumId w:val="46"/>
  </w:num>
  <w:num w:numId="13">
    <w:abstractNumId w:val="3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2"/>
  </w:num>
  <w:num w:numId="26">
    <w:abstractNumId w:val="25"/>
  </w:num>
  <w:num w:numId="27">
    <w:abstractNumId w:val="29"/>
  </w:num>
  <w:num w:numId="28">
    <w:abstractNumId w:val="17"/>
  </w:num>
  <w:num w:numId="29">
    <w:abstractNumId w:val="48"/>
  </w:num>
  <w:num w:numId="30">
    <w:abstractNumId w:val="49"/>
  </w:num>
  <w:num w:numId="31">
    <w:abstractNumId w:val="27"/>
  </w:num>
  <w:num w:numId="32">
    <w:abstractNumId w:val="33"/>
  </w:num>
  <w:num w:numId="33">
    <w:abstractNumId w:val="4"/>
  </w:num>
  <w:num w:numId="34">
    <w:abstractNumId w:val="14"/>
  </w:num>
  <w:num w:numId="35">
    <w:abstractNumId w:val="23"/>
  </w:num>
  <w:num w:numId="36">
    <w:abstractNumId w:val="36"/>
  </w:num>
  <w:num w:numId="37">
    <w:abstractNumId w:val="41"/>
  </w:num>
  <w:num w:numId="38">
    <w:abstractNumId w:val="6"/>
  </w:num>
  <w:num w:numId="39">
    <w:abstractNumId w:val="18"/>
  </w:num>
  <w:num w:numId="40">
    <w:abstractNumId w:val="2"/>
  </w:num>
  <w:num w:numId="41">
    <w:abstractNumId w:val="44"/>
  </w:num>
  <w:num w:numId="42">
    <w:abstractNumId w:val="45"/>
  </w:num>
  <w:num w:numId="43">
    <w:abstractNumId w:val="43"/>
  </w:num>
  <w:num w:numId="44">
    <w:abstractNumId w:val="12"/>
  </w:num>
  <w:num w:numId="45">
    <w:abstractNumId w:val="15"/>
  </w:num>
  <w:num w:numId="46">
    <w:abstractNumId w:val="9"/>
  </w:num>
  <w:num w:numId="47">
    <w:abstractNumId w:val="8"/>
  </w:num>
  <w:num w:numId="48">
    <w:abstractNumId w:val="11"/>
  </w:num>
  <w:num w:numId="49">
    <w:abstractNumId w:val="3"/>
  </w:num>
  <w:num w:numId="5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DA"/>
    <w:rsid w:val="00004FC3"/>
    <w:rsid w:val="00007A04"/>
    <w:rsid w:val="00010747"/>
    <w:rsid w:val="00011567"/>
    <w:rsid w:val="000161DA"/>
    <w:rsid w:val="00017C65"/>
    <w:rsid w:val="0002625C"/>
    <w:rsid w:val="00026684"/>
    <w:rsid w:val="00026FEA"/>
    <w:rsid w:val="00027AF1"/>
    <w:rsid w:val="000471BE"/>
    <w:rsid w:val="00055E7F"/>
    <w:rsid w:val="000660A6"/>
    <w:rsid w:val="0007019C"/>
    <w:rsid w:val="0007119C"/>
    <w:rsid w:val="00083718"/>
    <w:rsid w:val="000864C2"/>
    <w:rsid w:val="000912FE"/>
    <w:rsid w:val="0009408C"/>
    <w:rsid w:val="000977A9"/>
    <w:rsid w:val="000A0A3C"/>
    <w:rsid w:val="000A42D5"/>
    <w:rsid w:val="000B26BC"/>
    <w:rsid w:val="000B2A4A"/>
    <w:rsid w:val="000B767B"/>
    <w:rsid w:val="000C1188"/>
    <w:rsid w:val="000C6329"/>
    <w:rsid w:val="000C771C"/>
    <w:rsid w:val="000D215C"/>
    <w:rsid w:val="000D501E"/>
    <w:rsid w:val="000D5C73"/>
    <w:rsid w:val="000E041F"/>
    <w:rsid w:val="000E5893"/>
    <w:rsid w:val="000F4D8A"/>
    <w:rsid w:val="0011492B"/>
    <w:rsid w:val="00140B5B"/>
    <w:rsid w:val="00141FF6"/>
    <w:rsid w:val="00142636"/>
    <w:rsid w:val="00144B29"/>
    <w:rsid w:val="00144E97"/>
    <w:rsid w:val="00155987"/>
    <w:rsid w:val="00164F61"/>
    <w:rsid w:val="00193B81"/>
    <w:rsid w:val="00196C82"/>
    <w:rsid w:val="001A449B"/>
    <w:rsid w:val="001C70A1"/>
    <w:rsid w:val="001D4ED7"/>
    <w:rsid w:val="001E0929"/>
    <w:rsid w:val="001E3BB5"/>
    <w:rsid w:val="001E57B2"/>
    <w:rsid w:val="001E657A"/>
    <w:rsid w:val="001F2547"/>
    <w:rsid w:val="002111FB"/>
    <w:rsid w:val="0021645E"/>
    <w:rsid w:val="00225B32"/>
    <w:rsid w:val="00237A5E"/>
    <w:rsid w:val="00243234"/>
    <w:rsid w:val="00250E81"/>
    <w:rsid w:val="00256E02"/>
    <w:rsid w:val="00261256"/>
    <w:rsid w:val="00261661"/>
    <w:rsid w:val="00264A9A"/>
    <w:rsid w:val="00264C50"/>
    <w:rsid w:val="00265A13"/>
    <w:rsid w:val="00267119"/>
    <w:rsid w:val="0027387D"/>
    <w:rsid w:val="00285B71"/>
    <w:rsid w:val="00287379"/>
    <w:rsid w:val="00287B86"/>
    <w:rsid w:val="00294492"/>
    <w:rsid w:val="002A09A3"/>
    <w:rsid w:val="002A3DB6"/>
    <w:rsid w:val="002A6250"/>
    <w:rsid w:val="002A6264"/>
    <w:rsid w:val="002C2DBC"/>
    <w:rsid w:val="002C59C4"/>
    <w:rsid w:val="002C64CE"/>
    <w:rsid w:val="002D22C2"/>
    <w:rsid w:val="002D42ED"/>
    <w:rsid w:val="002D76B6"/>
    <w:rsid w:val="002E66B6"/>
    <w:rsid w:val="002F4749"/>
    <w:rsid w:val="002F47A7"/>
    <w:rsid w:val="0030394A"/>
    <w:rsid w:val="00312B31"/>
    <w:rsid w:val="00315DE9"/>
    <w:rsid w:val="00335133"/>
    <w:rsid w:val="0033751A"/>
    <w:rsid w:val="0033758B"/>
    <w:rsid w:val="00345AE8"/>
    <w:rsid w:val="00350299"/>
    <w:rsid w:val="003502AC"/>
    <w:rsid w:val="00350D42"/>
    <w:rsid w:val="00351F0A"/>
    <w:rsid w:val="00354228"/>
    <w:rsid w:val="00362C04"/>
    <w:rsid w:val="003639AF"/>
    <w:rsid w:val="00374912"/>
    <w:rsid w:val="00381DCF"/>
    <w:rsid w:val="0038314E"/>
    <w:rsid w:val="00395406"/>
    <w:rsid w:val="0039680D"/>
    <w:rsid w:val="003A0D1A"/>
    <w:rsid w:val="003A46CD"/>
    <w:rsid w:val="003A5ACD"/>
    <w:rsid w:val="003B43E6"/>
    <w:rsid w:val="003C7D14"/>
    <w:rsid w:val="003D1465"/>
    <w:rsid w:val="003D72FC"/>
    <w:rsid w:val="003D7B01"/>
    <w:rsid w:val="003E6FB2"/>
    <w:rsid w:val="003F62A8"/>
    <w:rsid w:val="004005A9"/>
    <w:rsid w:val="00405FD3"/>
    <w:rsid w:val="00410A6E"/>
    <w:rsid w:val="00413A1D"/>
    <w:rsid w:val="004168FD"/>
    <w:rsid w:val="0042148F"/>
    <w:rsid w:val="004367CD"/>
    <w:rsid w:val="00441241"/>
    <w:rsid w:val="004458A0"/>
    <w:rsid w:val="00450D79"/>
    <w:rsid w:val="004668D0"/>
    <w:rsid w:val="004727BF"/>
    <w:rsid w:val="004772E9"/>
    <w:rsid w:val="00480991"/>
    <w:rsid w:val="00483DD2"/>
    <w:rsid w:val="004844EB"/>
    <w:rsid w:val="004877ED"/>
    <w:rsid w:val="0049017C"/>
    <w:rsid w:val="004901E3"/>
    <w:rsid w:val="00490CF4"/>
    <w:rsid w:val="004B0AEA"/>
    <w:rsid w:val="004B2B11"/>
    <w:rsid w:val="004B2FA6"/>
    <w:rsid w:val="004C6B75"/>
    <w:rsid w:val="004D38F4"/>
    <w:rsid w:val="004D5BA2"/>
    <w:rsid w:val="004E3D54"/>
    <w:rsid w:val="004E4349"/>
    <w:rsid w:val="004E619F"/>
    <w:rsid w:val="004F2D5F"/>
    <w:rsid w:val="004F3A4D"/>
    <w:rsid w:val="0050103C"/>
    <w:rsid w:val="00513FC6"/>
    <w:rsid w:val="005158A1"/>
    <w:rsid w:val="00516979"/>
    <w:rsid w:val="00532652"/>
    <w:rsid w:val="00543401"/>
    <w:rsid w:val="00543CEE"/>
    <w:rsid w:val="00562247"/>
    <w:rsid w:val="0056443E"/>
    <w:rsid w:val="00566AF3"/>
    <w:rsid w:val="005769BB"/>
    <w:rsid w:val="0058073E"/>
    <w:rsid w:val="00584740"/>
    <w:rsid w:val="00587CFB"/>
    <w:rsid w:val="00596EFD"/>
    <w:rsid w:val="005A3A7E"/>
    <w:rsid w:val="005A64E3"/>
    <w:rsid w:val="005B4AB5"/>
    <w:rsid w:val="005B57B0"/>
    <w:rsid w:val="005C7747"/>
    <w:rsid w:val="005D6E8F"/>
    <w:rsid w:val="005D7775"/>
    <w:rsid w:val="005E0D28"/>
    <w:rsid w:val="005E1D07"/>
    <w:rsid w:val="00601E64"/>
    <w:rsid w:val="0060327D"/>
    <w:rsid w:val="0060348F"/>
    <w:rsid w:val="006101BF"/>
    <w:rsid w:val="006161E4"/>
    <w:rsid w:val="006171DB"/>
    <w:rsid w:val="00626B1A"/>
    <w:rsid w:val="00632031"/>
    <w:rsid w:val="00646DFF"/>
    <w:rsid w:val="00657077"/>
    <w:rsid w:val="006622E6"/>
    <w:rsid w:val="00665365"/>
    <w:rsid w:val="0067251F"/>
    <w:rsid w:val="00675107"/>
    <w:rsid w:val="006822A3"/>
    <w:rsid w:val="00690692"/>
    <w:rsid w:val="006931F2"/>
    <w:rsid w:val="00696653"/>
    <w:rsid w:val="00696A30"/>
    <w:rsid w:val="006A2C20"/>
    <w:rsid w:val="006A4689"/>
    <w:rsid w:val="006A4E8A"/>
    <w:rsid w:val="006B54D9"/>
    <w:rsid w:val="006D0CA1"/>
    <w:rsid w:val="006D5A1D"/>
    <w:rsid w:val="006E4AE3"/>
    <w:rsid w:val="006F0C96"/>
    <w:rsid w:val="00701915"/>
    <w:rsid w:val="007128A5"/>
    <w:rsid w:val="007146A5"/>
    <w:rsid w:val="00725D61"/>
    <w:rsid w:val="00732F79"/>
    <w:rsid w:val="0074750A"/>
    <w:rsid w:val="00747925"/>
    <w:rsid w:val="00753C99"/>
    <w:rsid w:val="007637F5"/>
    <w:rsid w:val="00776DE2"/>
    <w:rsid w:val="0077790C"/>
    <w:rsid w:val="0078004F"/>
    <w:rsid w:val="0078556E"/>
    <w:rsid w:val="00795EB1"/>
    <w:rsid w:val="00796213"/>
    <w:rsid w:val="007979A9"/>
    <w:rsid w:val="007A023F"/>
    <w:rsid w:val="007A0FBC"/>
    <w:rsid w:val="007B7C59"/>
    <w:rsid w:val="007C18E8"/>
    <w:rsid w:val="007C2BF8"/>
    <w:rsid w:val="007C3B45"/>
    <w:rsid w:val="007E2828"/>
    <w:rsid w:val="007F387B"/>
    <w:rsid w:val="007F3A9D"/>
    <w:rsid w:val="007F4146"/>
    <w:rsid w:val="007F5F8B"/>
    <w:rsid w:val="00806BD0"/>
    <w:rsid w:val="008078D1"/>
    <w:rsid w:val="00813F62"/>
    <w:rsid w:val="00815444"/>
    <w:rsid w:val="00816B6A"/>
    <w:rsid w:val="00817280"/>
    <w:rsid w:val="008267A2"/>
    <w:rsid w:val="0083224A"/>
    <w:rsid w:val="00836979"/>
    <w:rsid w:val="00837102"/>
    <w:rsid w:val="008447D3"/>
    <w:rsid w:val="00847548"/>
    <w:rsid w:val="00847F77"/>
    <w:rsid w:val="00857089"/>
    <w:rsid w:val="0088770F"/>
    <w:rsid w:val="0089197C"/>
    <w:rsid w:val="00895568"/>
    <w:rsid w:val="00896F8B"/>
    <w:rsid w:val="008A536C"/>
    <w:rsid w:val="008B07C7"/>
    <w:rsid w:val="008B0CF3"/>
    <w:rsid w:val="008B3A43"/>
    <w:rsid w:val="008B525C"/>
    <w:rsid w:val="008C4ACC"/>
    <w:rsid w:val="008C7110"/>
    <w:rsid w:val="008D063D"/>
    <w:rsid w:val="008E494C"/>
    <w:rsid w:val="008F6486"/>
    <w:rsid w:val="00904F01"/>
    <w:rsid w:val="00906B0B"/>
    <w:rsid w:val="00907FFE"/>
    <w:rsid w:val="00910732"/>
    <w:rsid w:val="009307C6"/>
    <w:rsid w:val="00945A04"/>
    <w:rsid w:val="00945CFB"/>
    <w:rsid w:val="00961D82"/>
    <w:rsid w:val="00967B94"/>
    <w:rsid w:val="009741EC"/>
    <w:rsid w:val="00984A01"/>
    <w:rsid w:val="009A161F"/>
    <w:rsid w:val="009A1CEA"/>
    <w:rsid w:val="009A3106"/>
    <w:rsid w:val="009A4357"/>
    <w:rsid w:val="009A6266"/>
    <w:rsid w:val="009A664C"/>
    <w:rsid w:val="009C50B9"/>
    <w:rsid w:val="009D595B"/>
    <w:rsid w:val="009D703D"/>
    <w:rsid w:val="009E003C"/>
    <w:rsid w:val="009F3174"/>
    <w:rsid w:val="00A02075"/>
    <w:rsid w:val="00A02BFE"/>
    <w:rsid w:val="00A11310"/>
    <w:rsid w:val="00A15D12"/>
    <w:rsid w:val="00A2054D"/>
    <w:rsid w:val="00A21F9C"/>
    <w:rsid w:val="00A309F6"/>
    <w:rsid w:val="00A32919"/>
    <w:rsid w:val="00A47C77"/>
    <w:rsid w:val="00A61CAA"/>
    <w:rsid w:val="00A640D8"/>
    <w:rsid w:val="00A71F47"/>
    <w:rsid w:val="00A724B0"/>
    <w:rsid w:val="00A7271F"/>
    <w:rsid w:val="00A84FEE"/>
    <w:rsid w:val="00AA3829"/>
    <w:rsid w:val="00AC3982"/>
    <w:rsid w:val="00AC55D5"/>
    <w:rsid w:val="00AD2D4E"/>
    <w:rsid w:val="00AD65F5"/>
    <w:rsid w:val="00AF514F"/>
    <w:rsid w:val="00AF5EAB"/>
    <w:rsid w:val="00B00B70"/>
    <w:rsid w:val="00B02553"/>
    <w:rsid w:val="00B046DF"/>
    <w:rsid w:val="00B05CB3"/>
    <w:rsid w:val="00B26A87"/>
    <w:rsid w:val="00B31948"/>
    <w:rsid w:val="00B434CE"/>
    <w:rsid w:val="00B43BC8"/>
    <w:rsid w:val="00B4534D"/>
    <w:rsid w:val="00B57136"/>
    <w:rsid w:val="00B6548B"/>
    <w:rsid w:val="00B65B46"/>
    <w:rsid w:val="00B665C4"/>
    <w:rsid w:val="00B66AC5"/>
    <w:rsid w:val="00B721D0"/>
    <w:rsid w:val="00B74432"/>
    <w:rsid w:val="00B74FDF"/>
    <w:rsid w:val="00B761ED"/>
    <w:rsid w:val="00B7687E"/>
    <w:rsid w:val="00B775A4"/>
    <w:rsid w:val="00B82C63"/>
    <w:rsid w:val="00B85006"/>
    <w:rsid w:val="00B867FE"/>
    <w:rsid w:val="00B8795A"/>
    <w:rsid w:val="00B92613"/>
    <w:rsid w:val="00B93AB0"/>
    <w:rsid w:val="00B946F5"/>
    <w:rsid w:val="00BA0C62"/>
    <w:rsid w:val="00BB3B3C"/>
    <w:rsid w:val="00BC6217"/>
    <w:rsid w:val="00BD06BA"/>
    <w:rsid w:val="00BD67C7"/>
    <w:rsid w:val="00BF04E5"/>
    <w:rsid w:val="00BF12C1"/>
    <w:rsid w:val="00BF307E"/>
    <w:rsid w:val="00BF430A"/>
    <w:rsid w:val="00C01A80"/>
    <w:rsid w:val="00C059B4"/>
    <w:rsid w:val="00C16EB5"/>
    <w:rsid w:val="00C17773"/>
    <w:rsid w:val="00C32BD8"/>
    <w:rsid w:val="00C3467F"/>
    <w:rsid w:val="00C34E08"/>
    <w:rsid w:val="00C361E3"/>
    <w:rsid w:val="00C55265"/>
    <w:rsid w:val="00C6025A"/>
    <w:rsid w:val="00C6299B"/>
    <w:rsid w:val="00C7681A"/>
    <w:rsid w:val="00C86FAE"/>
    <w:rsid w:val="00C95B7C"/>
    <w:rsid w:val="00C97D6C"/>
    <w:rsid w:val="00CA5265"/>
    <w:rsid w:val="00CB24CC"/>
    <w:rsid w:val="00CB27DD"/>
    <w:rsid w:val="00CB3B54"/>
    <w:rsid w:val="00CB6713"/>
    <w:rsid w:val="00CC697C"/>
    <w:rsid w:val="00CC6A87"/>
    <w:rsid w:val="00CC6B5A"/>
    <w:rsid w:val="00CC6E8F"/>
    <w:rsid w:val="00CC74C0"/>
    <w:rsid w:val="00CD6039"/>
    <w:rsid w:val="00CD76F9"/>
    <w:rsid w:val="00CD7B24"/>
    <w:rsid w:val="00CF3C14"/>
    <w:rsid w:val="00D079F3"/>
    <w:rsid w:val="00D1195F"/>
    <w:rsid w:val="00D25E75"/>
    <w:rsid w:val="00D31ED1"/>
    <w:rsid w:val="00D35C5A"/>
    <w:rsid w:val="00D54DCD"/>
    <w:rsid w:val="00D5775C"/>
    <w:rsid w:val="00D74057"/>
    <w:rsid w:val="00D917A2"/>
    <w:rsid w:val="00D91E50"/>
    <w:rsid w:val="00D94A90"/>
    <w:rsid w:val="00D97DB0"/>
    <w:rsid w:val="00DA0745"/>
    <w:rsid w:val="00DB0133"/>
    <w:rsid w:val="00DB4561"/>
    <w:rsid w:val="00DB6426"/>
    <w:rsid w:val="00DC0B9D"/>
    <w:rsid w:val="00DC1882"/>
    <w:rsid w:val="00DC607C"/>
    <w:rsid w:val="00DD58F3"/>
    <w:rsid w:val="00DE2728"/>
    <w:rsid w:val="00E014AE"/>
    <w:rsid w:val="00E02A95"/>
    <w:rsid w:val="00E11A13"/>
    <w:rsid w:val="00E13C5B"/>
    <w:rsid w:val="00E152B4"/>
    <w:rsid w:val="00E33BEF"/>
    <w:rsid w:val="00E34C67"/>
    <w:rsid w:val="00E412EB"/>
    <w:rsid w:val="00E610A5"/>
    <w:rsid w:val="00E64BBC"/>
    <w:rsid w:val="00E72661"/>
    <w:rsid w:val="00E818EB"/>
    <w:rsid w:val="00E94DFE"/>
    <w:rsid w:val="00E9546C"/>
    <w:rsid w:val="00EA2D51"/>
    <w:rsid w:val="00EC5538"/>
    <w:rsid w:val="00ED0E66"/>
    <w:rsid w:val="00ED315F"/>
    <w:rsid w:val="00ED6525"/>
    <w:rsid w:val="00EF5646"/>
    <w:rsid w:val="00EF728F"/>
    <w:rsid w:val="00F1717D"/>
    <w:rsid w:val="00F21401"/>
    <w:rsid w:val="00F2758B"/>
    <w:rsid w:val="00F32DED"/>
    <w:rsid w:val="00F418DD"/>
    <w:rsid w:val="00F5075A"/>
    <w:rsid w:val="00F55F92"/>
    <w:rsid w:val="00F577CD"/>
    <w:rsid w:val="00F64E34"/>
    <w:rsid w:val="00F7149C"/>
    <w:rsid w:val="00F7345D"/>
    <w:rsid w:val="00F7672C"/>
    <w:rsid w:val="00F85A8F"/>
    <w:rsid w:val="00F932D9"/>
    <w:rsid w:val="00F96E0C"/>
    <w:rsid w:val="00F96FD5"/>
    <w:rsid w:val="00F97962"/>
    <w:rsid w:val="00FA5270"/>
    <w:rsid w:val="00FB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A5FDB8"/>
  <w15:docId w15:val="{1B89968F-41B0-4557-A406-86DE01EE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2">
    <w:name w:val="heading 2"/>
    <w:basedOn w:val="Normal"/>
    <w:next w:val="Normal"/>
    <w:link w:val="Heading2Char"/>
    <w:uiPriority w:val="9"/>
    <w:semiHidden/>
    <w:unhideWhenUsed/>
    <w:qFormat/>
    <w:rsid w:val="00587C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character" w:styleId="UnresolvedMention">
    <w:name w:val="Unresolved Mention"/>
    <w:basedOn w:val="DefaultParagraphFont"/>
    <w:uiPriority w:val="99"/>
    <w:semiHidden/>
    <w:unhideWhenUsed/>
    <w:rsid w:val="0007119C"/>
    <w:rPr>
      <w:color w:val="605E5C"/>
      <w:shd w:val="clear" w:color="auto" w:fill="E1DFDD"/>
    </w:rPr>
  </w:style>
  <w:style w:type="character" w:customStyle="1" w:styleId="Heading2Char">
    <w:name w:val="Heading 2 Char"/>
    <w:basedOn w:val="DefaultParagraphFont"/>
    <w:link w:val="Heading2"/>
    <w:uiPriority w:val="9"/>
    <w:semiHidden/>
    <w:rsid w:val="00587C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9540">
      <w:bodyDiv w:val="1"/>
      <w:marLeft w:val="0"/>
      <w:marRight w:val="0"/>
      <w:marTop w:val="0"/>
      <w:marBottom w:val="0"/>
      <w:divBdr>
        <w:top w:val="none" w:sz="0" w:space="0" w:color="auto"/>
        <w:left w:val="none" w:sz="0" w:space="0" w:color="auto"/>
        <w:bottom w:val="none" w:sz="0" w:space="0" w:color="auto"/>
        <w:right w:val="none" w:sz="0" w:space="0" w:color="auto"/>
      </w:divBdr>
    </w:div>
    <w:div w:id="221060242">
      <w:bodyDiv w:val="1"/>
      <w:marLeft w:val="0"/>
      <w:marRight w:val="0"/>
      <w:marTop w:val="0"/>
      <w:marBottom w:val="0"/>
      <w:divBdr>
        <w:top w:val="none" w:sz="0" w:space="0" w:color="auto"/>
        <w:left w:val="none" w:sz="0" w:space="0" w:color="auto"/>
        <w:bottom w:val="none" w:sz="0" w:space="0" w:color="auto"/>
        <w:right w:val="none" w:sz="0" w:space="0" w:color="auto"/>
      </w:divBdr>
    </w:div>
    <w:div w:id="239800012">
      <w:bodyDiv w:val="1"/>
      <w:marLeft w:val="0"/>
      <w:marRight w:val="0"/>
      <w:marTop w:val="0"/>
      <w:marBottom w:val="0"/>
      <w:divBdr>
        <w:top w:val="none" w:sz="0" w:space="0" w:color="auto"/>
        <w:left w:val="none" w:sz="0" w:space="0" w:color="auto"/>
        <w:bottom w:val="none" w:sz="0" w:space="0" w:color="auto"/>
        <w:right w:val="none" w:sz="0" w:space="0" w:color="auto"/>
      </w:divBdr>
    </w:div>
    <w:div w:id="472672193">
      <w:bodyDiv w:val="1"/>
      <w:marLeft w:val="0"/>
      <w:marRight w:val="0"/>
      <w:marTop w:val="0"/>
      <w:marBottom w:val="0"/>
      <w:divBdr>
        <w:top w:val="none" w:sz="0" w:space="0" w:color="auto"/>
        <w:left w:val="none" w:sz="0" w:space="0" w:color="auto"/>
        <w:bottom w:val="none" w:sz="0" w:space="0" w:color="auto"/>
        <w:right w:val="none" w:sz="0" w:space="0" w:color="auto"/>
      </w:divBdr>
    </w:div>
    <w:div w:id="640110440">
      <w:bodyDiv w:val="1"/>
      <w:marLeft w:val="0"/>
      <w:marRight w:val="0"/>
      <w:marTop w:val="0"/>
      <w:marBottom w:val="0"/>
      <w:divBdr>
        <w:top w:val="none" w:sz="0" w:space="0" w:color="auto"/>
        <w:left w:val="none" w:sz="0" w:space="0" w:color="auto"/>
        <w:bottom w:val="none" w:sz="0" w:space="0" w:color="auto"/>
        <w:right w:val="none" w:sz="0" w:space="0" w:color="auto"/>
      </w:divBdr>
    </w:div>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53883006">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08419364">
      <w:bodyDiv w:val="1"/>
      <w:marLeft w:val="0"/>
      <w:marRight w:val="0"/>
      <w:marTop w:val="0"/>
      <w:marBottom w:val="0"/>
      <w:divBdr>
        <w:top w:val="none" w:sz="0" w:space="0" w:color="auto"/>
        <w:left w:val="none" w:sz="0" w:space="0" w:color="auto"/>
        <w:bottom w:val="none" w:sz="0" w:space="0" w:color="auto"/>
        <w:right w:val="none" w:sz="0" w:space="0" w:color="auto"/>
      </w:divBdr>
    </w:div>
    <w:div w:id="914819769">
      <w:bodyDiv w:val="1"/>
      <w:marLeft w:val="0"/>
      <w:marRight w:val="0"/>
      <w:marTop w:val="0"/>
      <w:marBottom w:val="0"/>
      <w:divBdr>
        <w:top w:val="none" w:sz="0" w:space="0" w:color="auto"/>
        <w:left w:val="none" w:sz="0" w:space="0" w:color="auto"/>
        <w:bottom w:val="none" w:sz="0" w:space="0" w:color="auto"/>
        <w:right w:val="none" w:sz="0" w:space="0" w:color="auto"/>
      </w:divBdr>
    </w:div>
    <w:div w:id="936449792">
      <w:bodyDiv w:val="1"/>
      <w:marLeft w:val="0"/>
      <w:marRight w:val="0"/>
      <w:marTop w:val="0"/>
      <w:marBottom w:val="0"/>
      <w:divBdr>
        <w:top w:val="none" w:sz="0" w:space="0" w:color="auto"/>
        <w:left w:val="none" w:sz="0" w:space="0" w:color="auto"/>
        <w:bottom w:val="none" w:sz="0" w:space="0" w:color="auto"/>
        <w:right w:val="none" w:sz="0" w:space="0" w:color="auto"/>
      </w:divBdr>
    </w:div>
    <w:div w:id="973220511">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018969317">
      <w:bodyDiv w:val="1"/>
      <w:marLeft w:val="0"/>
      <w:marRight w:val="0"/>
      <w:marTop w:val="0"/>
      <w:marBottom w:val="0"/>
      <w:divBdr>
        <w:top w:val="none" w:sz="0" w:space="0" w:color="auto"/>
        <w:left w:val="none" w:sz="0" w:space="0" w:color="auto"/>
        <w:bottom w:val="none" w:sz="0" w:space="0" w:color="auto"/>
        <w:right w:val="none" w:sz="0" w:space="0" w:color="auto"/>
      </w:divBdr>
    </w:div>
    <w:div w:id="1041443480">
      <w:bodyDiv w:val="1"/>
      <w:marLeft w:val="0"/>
      <w:marRight w:val="0"/>
      <w:marTop w:val="0"/>
      <w:marBottom w:val="0"/>
      <w:divBdr>
        <w:top w:val="none" w:sz="0" w:space="0" w:color="auto"/>
        <w:left w:val="none" w:sz="0" w:space="0" w:color="auto"/>
        <w:bottom w:val="none" w:sz="0" w:space="0" w:color="auto"/>
        <w:right w:val="none" w:sz="0" w:space="0" w:color="auto"/>
      </w:divBdr>
    </w:div>
    <w:div w:id="1098217762">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146043749">
      <w:bodyDiv w:val="1"/>
      <w:marLeft w:val="0"/>
      <w:marRight w:val="0"/>
      <w:marTop w:val="0"/>
      <w:marBottom w:val="0"/>
      <w:divBdr>
        <w:top w:val="none" w:sz="0" w:space="0" w:color="auto"/>
        <w:left w:val="none" w:sz="0" w:space="0" w:color="auto"/>
        <w:bottom w:val="none" w:sz="0" w:space="0" w:color="auto"/>
        <w:right w:val="none" w:sz="0" w:space="0" w:color="auto"/>
      </w:divBdr>
    </w:div>
    <w:div w:id="1174494586">
      <w:bodyDiv w:val="1"/>
      <w:marLeft w:val="0"/>
      <w:marRight w:val="0"/>
      <w:marTop w:val="0"/>
      <w:marBottom w:val="0"/>
      <w:divBdr>
        <w:top w:val="none" w:sz="0" w:space="0" w:color="auto"/>
        <w:left w:val="none" w:sz="0" w:space="0" w:color="auto"/>
        <w:bottom w:val="none" w:sz="0" w:space="0" w:color="auto"/>
        <w:right w:val="none" w:sz="0" w:space="0" w:color="auto"/>
      </w:divBdr>
    </w:div>
    <w:div w:id="1403061389">
      <w:bodyDiv w:val="1"/>
      <w:marLeft w:val="0"/>
      <w:marRight w:val="0"/>
      <w:marTop w:val="0"/>
      <w:marBottom w:val="0"/>
      <w:divBdr>
        <w:top w:val="none" w:sz="0" w:space="0" w:color="auto"/>
        <w:left w:val="none" w:sz="0" w:space="0" w:color="auto"/>
        <w:bottom w:val="none" w:sz="0" w:space="0" w:color="auto"/>
        <w:right w:val="none" w:sz="0" w:space="0" w:color="auto"/>
      </w:divBdr>
    </w:div>
    <w:div w:id="1412583013">
      <w:bodyDiv w:val="1"/>
      <w:marLeft w:val="0"/>
      <w:marRight w:val="0"/>
      <w:marTop w:val="0"/>
      <w:marBottom w:val="0"/>
      <w:divBdr>
        <w:top w:val="none" w:sz="0" w:space="0" w:color="auto"/>
        <w:left w:val="none" w:sz="0" w:space="0" w:color="auto"/>
        <w:bottom w:val="none" w:sz="0" w:space="0" w:color="auto"/>
        <w:right w:val="none" w:sz="0" w:space="0" w:color="auto"/>
      </w:divBdr>
    </w:div>
    <w:div w:id="1439789391">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 w:id="1484808332">
      <w:bodyDiv w:val="1"/>
      <w:marLeft w:val="0"/>
      <w:marRight w:val="0"/>
      <w:marTop w:val="0"/>
      <w:marBottom w:val="0"/>
      <w:divBdr>
        <w:top w:val="none" w:sz="0" w:space="0" w:color="auto"/>
        <w:left w:val="none" w:sz="0" w:space="0" w:color="auto"/>
        <w:bottom w:val="none" w:sz="0" w:space="0" w:color="auto"/>
        <w:right w:val="none" w:sz="0" w:space="0" w:color="auto"/>
      </w:divBdr>
    </w:div>
    <w:div w:id="1485512131">
      <w:bodyDiv w:val="1"/>
      <w:marLeft w:val="0"/>
      <w:marRight w:val="0"/>
      <w:marTop w:val="0"/>
      <w:marBottom w:val="0"/>
      <w:divBdr>
        <w:top w:val="none" w:sz="0" w:space="0" w:color="auto"/>
        <w:left w:val="none" w:sz="0" w:space="0" w:color="auto"/>
        <w:bottom w:val="none" w:sz="0" w:space="0" w:color="auto"/>
        <w:right w:val="none" w:sz="0" w:space="0" w:color="auto"/>
      </w:divBdr>
    </w:div>
    <w:div w:id="1523518886">
      <w:bodyDiv w:val="1"/>
      <w:marLeft w:val="0"/>
      <w:marRight w:val="0"/>
      <w:marTop w:val="0"/>
      <w:marBottom w:val="0"/>
      <w:divBdr>
        <w:top w:val="none" w:sz="0" w:space="0" w:color="auto"/>
        <w:left w:val="none" w:sz="0" w:space="0" w:color="auto"/>
        <w:bottom w:val="none" w:sz="0" w:space="0" w:color="auto"/>
        <w:right w:val="none" w:sz="0" w:space="0" w:color="auto"/>
      </w:divBdr>
    </w:div>
    <w:div w:id="1645894911">
      <w:bodyDiv w:val="1"/>
      <w:marLeft w:val="0"/>
      <w:marRight w:val="0"/>
      <w:marTop w:val="0"/>
      <w:marBottom w:val="0"/>
      <w:divBdr>
        <w:top w:val="none" w:sz="0" w:space="0" w:color="auto"/>
        <w:left w:val="none" w:sz="0" w:space="0" w:color="auto"/>
        <w:bottom w:val="none" w:sz="0" w:space="0" w:color="auto"/>
        <w:right w:val="none" w:sz="0" w:space="0" w:color="auto"/>
      </w:divBdr>
    </w:div>
    <w:div w:id="1653756989">
      <w:bodyDiv w:val="1"/>
      <w:marLeft w:val="0"/>
      <w:marRight w:val="0"/>
      <w:marTop w:val="0"/>
      <w:marBottom w:val="0"/>
      <w:divBdr>
        <w:top w:val="none" w:sz="0" w:space="0" w:color="auto"/>
        <w:left w:val="none" w:sz="0" w:space="0" w:color="auto"/>
        <w:bottom w:val="none" w:sz="0" w:space="0" w:color="auto"/>
        <w:right w:val="none" w:sz="0" w:space="0" w:color="auto"/>
      </w:divBdr>
    </w:div>
    <w:div w:id="1872254709">
      <w:bodyDiv w:val="1"/>
      <w:marLeft w:val="0"/>
      <w:marRight w:val="0"/>
      <w:marTop w:val="0"/>
      <w:marBottom w:val="0"/>
      <w:divBdr>
        <w:top w:val="none" w:sz="0" w:space="0" w:color="auto"/>
        <w:left w:val="none" w:sz="0" w:space="0" w:color="auto"/>
        <w:bottom w:val="none" w:sz="0" w:space="0" w:color="auto"/>
        <w:right w:val="none" w:sz="0" w:space="0" w:color="auto"/>
      </w:divBdr>
    </w:div>
    <w:div w:id="1922253186">
      <w:bodyDiv w:val="1"/>
      <w:marLeft w:val="0"/>
      <w:marRight w:val="0"/>
      <w:marTop w:val="0"/>
      <w:marBottom w:val="0"/>
      <w:divBdr>
        <w:top w:val="none" w:sz="0" w:space="0" w:color="auto"/>
        <w:left w:val="none" w:sz="0" w:space="0" w:color="auto"/>
        <w:bottom w:val="none" w:sz="0" w:space="0" w:color="auto"/>
        <w:right w:val="none" w:sz="0" w:space="0" w:color="auto"/>
      </w:divBdr>
    </w:div>
    <w:div w:id="1932278873">
      <w:bodyDiv w:val="1"/>
      <w:marLeft w:val="0"/>
      <w:marRight w:val="0"/>
      <w:marTop w:val="0"/>
      <w:marBottom w:val="0"/>
      <w:divBdr>
        <w:top w:val="none" w:sz="0" w:space="0" w:color="auto"/>
        <w:left w:val="none" w:sz="0" w:space="0" w:color="auto"/>
        <w:bottom w:val="none" w:sz="0" w:space="0" w:color="auto"/>
        <w:right w:val="none" w:sz="0" w:space="0" w:color="auto"/>
      </w:divBdr>
    </w:div>
    <w:div w:id="19455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17" Type="http://schemas.openxmlformats.org/officeDocument/2006/relationships/hyperlink" Target="https://jfs.ohio.gov/ocf/childprotectiveservices.stm" TargetMode="External"/><Relationship Id="rId2" Type="http://schemas.openxmlformats.org/officeDocument/2006/relationships/customXml" Target="../customXml/item2.xml"/><Relationship Id="rId16" Type="http://schemas.openxmlformats.org/officeDocument/2006/relationships/hyperlink" Target="mailto:Hamil_ContractServicesProcurements@jfs.oh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fs.ohio.gov/ocf/Ohio-Title-IV-E-Cost-Report-Process.s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TEMPLATE\Master\JFS%20Letterhead\JFS%20Executive%20Color%20Letterhea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5687E-B885-4175-9406-1DB8E4AD1A35}">
  <ds:schemaRefs>
    <ds:schemaRef ds:uri="http://schemas.microsoft.com/sharepoint/v3/contenttype/forms"/>
  </ds:schemaRefs>
</ds:datastoreItem>
</file>

<file path=customXml/itemProps2.xml><?xml version="1.0" encoding="utf-8"?>
<ds:datastoreItem xmlns:ds="http://schemas.openxmlformats.org/officeDocument/2006/customXml" ds:itemID="{623C9992-7D54-479C-B6C2-0E33F344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7D7B3-2CF0-4423-9AFB-E058B4EDD031}">
  <ds:schemaRefs>
    <ds:schemaRef ds:uri="http://schemas.openxmlformats.org/officeDocument/2006/bibliography"/>
  </ds:schemaRefs>
</ds:datastoreItem>
</file>

<file path=customXml/itemProps4.xml><?xml version="1.0" encoding="utf-8"?>
<ds:datastoreItem xmlns:ds="http://schemas.openxmlformats.org/officeDocument/2006/customXml" ds:itemID="{E1564CE1-4AA3-4AD9-AC3E-00A0C7C0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JFS Executive Color Letterhead - 2021</Template>
  <TotalTime>27</TotalTime>
  <Pages>8</Pages>
  <Words>2628</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16803</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Carson</dc:creator>
  <cp:keywords/>
  <dc:description/>
  <cp:lastModifiedBy>Carson, Sandra</cp:lastModifiedBy>
  <cp:revision>18</cp:revision>
  <cp:lastPrinted>2021-01-29T15:54:00Z</cp:lastPrinted>
  <dcterms:created xsi:type="dcterms:W3CDTF">2021-03-09T15:24:00Z</dcterms:created>
  <dcterms:modified xsi:type="dcterms:W3CDTF">2021-03-10T10:23:00Z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